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699C" w14:textId="4B45197C" w:rsidR="00433C37" w:rsidRPr="00EB0633" w:rsidRDefault="00433C37" w:rsidP="004612E3">
      <w:pPr>
        <w:pStyle w:val="Nagwek3"/>
        <w:jc w:val="center"/>
      </w:pPr>
      <w:bookmarkStart w:id="0" w:name="_GoBack"/>
      <w:bookmarkEnd w:id="0"/>
      <w:r w:rsidRPr="00EB0633">
        <w:t>Warsztaty Zastępców Naczelnego Rzecznika Odpowiedzialności Zawodowej</w:t>
      </w:r>
    </w:p>
    <w:p w14:paraId="43D66714" w14:textId="77777777" w:rsidR="00146B45" w:rsidRPr="00EB0633" w:rsidRDefault="00433C37" w:rsidP="004612E3">
      <w:pPr>
        <w:pStyle w:val="Nagwek3"/>
        <w:jc w:val="center"/>
      </w:pPr>
      <w:r w:rsidRPr="00EB0633">
        <w:t>20 stycznia 2018r.</w:t>
      </w:r>
    </w:p>
    <w:p w14:paraId="133D4934" w14:textId="77777777" w:rsidR="00433C37" w:rsidRPr="00EB0633" w:rsidRDefault="00433C37" w:rsidP="00433C37">
      <w:pPr>
        <w:jc w:val="center"/>
      </w:pPr>
    </w:p>
    <w:p w14:paraId="312E08B0" w14:textId="77777777" w:rsidR="00433C37" w:rsidRPr="00EB0633" w:rsidRDefault="00433C37" w:rsidP="00433C37"/>
    <w:p w14:paraId="4E1015A3" w14:textId="2C14A0FD" w:rsidR="00633529" w:rsidRDefault="00433C37" w:rsidP="00433C37">
      <w:pPr>
        <w:jc w:val="both"/>
      </w:pPr>
      <w:r w:rsidRPr="00EB0633">
        <w:t>W dniu 20 stycznia 2018r. w siedzibie Naczelnej Izby Lekarskiej odbyło się spotkanie szkoleniowe Zastępców N</w:t>
      </w:r>
      <w:r w:rsidR="004612E3">
        <w:t xml:space="preserve">aczelnego </w:t>
      </w:r>
      <w:r w:rsidRPr="00EB0633">
        <w:t>R</w:t>
      </w:r>
      <w:r w:rsidR="004612E3">
        <w:t xml:space="preserve">zecznika </w:t>
      </w:r>
      <w:r w:rsidRPr="00EB0633">
        <w:t>O</w:t>
      </w:r>
      <w:r w:rsidR="004612E3">
        <w:t xml:space="preserve">dpowiedzialności </w:t>
      </w:r>
      <w:r w:rsidRPr="00EB0633">
        <w:t>Z</w:t>
      </w:r>
      <w:r w:rsidR="004612E3">
        <w:t>awodowej</w:t>
      </w:r>
      <w:r w:rsidRPr="00EB0633">
        <w:t xml:space="preserve">.  </w:t>
      </w:r>
      <w:r w:rsidR="00633529">
        <w:t xml:space="preserve">W szkoleniu brali udział: NROZ lek. Grzegorz Wrona wraz z Zastępcami, doradca prawny NROZ r.pr. Marek Szewczyński, prelegent prokurator Andrzej Jóźwiak oraz pracownicy Biura NROZ. </w:t>
      </w:r>
    </w:p>
    <w:p w14:paraId="5A1AF5EA" w14:textId="77777777" w:rsidR="00633529" w:rsidRDefault="00633529" w:rsidP="00433C37">
      <w:pPr>
        <w:jc w:val="both"/>
      </w:pPr>
    </w:p>
    <w:p w14:paraId="5758FAD5" w14:textId="77777777" w:rsidR="00433C37" w:rsidRPr="00EB0633" w:rsidRDefault="00433C37" w:rsidP="00433C37">
      <w:pPr>
        <w:jc w:val="both"/>
      </w:pPr>
      <w:r w:rsidRPr="00EB0633">
        <w:t xml:space="preserve">Podczas spotkania omówione zostały bieżące sprawy oraz zagadnienia prawne mogące budzić wątpliwości w prowadzonych przez Rzeczników postępowaniach w przedmiocie odpowiedzialności zawodowej. </w:t>
      </w:r>
    </w:p>
    <w:p w14:paraId="0B9B9BA4" w14:textId="77777777" w:rsidR="00433C37" w:rsidRPr="00EB0633" w:rsidRDefault="00433C37" w:rsidP="00433C37">
      <w:pPr>
        <w:jc w:val="both"/>
      </w:pPr>
    </w:p>
    <w:p w14:paraId="6BAEA962" w14:textId="2D68F268" w:rsidR="00433C37" w:rsidRPr="00EB0633" w:rsidRDefault="00433C37" w:rsidP="00433C37">
      <w:pPr>
        <w:jc w:val="both"/>
      </w:pPr>
      <w:r w:rsidRPr="00EB0633">
        <w:t>Pierwszym poruszonym tematem było zagadnienie skargi na wyrok sądu odwoławczego (instytucja określona w rozdziale 55a kodeksu postępowania karnego) w świetle Uchwały składu siedmiu sędziów Sądu Najwyższego (sygn.</w:t>
      </w:r>
      <w:r w:rsidR="004612E3">
        <w:t xml:space="preserve"> akt I KZP 9/17).  Chodzi tu</w:t>
      </w:r>
      <w:r w:rsidRPr="00EB0633">
        <w:t xml:space="preserve"> o sytuacje w których zapadło orzeczenie okręgowego sądu lekarskiego. Złożono odwołanie. W wyniku rozpoznania odwołania Naczelny Sąd Lekarski uchylił orzeczenie sądu I instancji i przekazał sprawę do ponownego rozpoznania.  Zgodnie z art. 539a </w:t>
      </w:r>
      <w:r w:rsidRPr="00EB0633">
        <w:rPr>
          <w:bCs/>
        </w:rPr>
        <w:t>§</w:t>
      </w:r>
      <w:r w:rsidRPr="00EB0633">
        <w:t xml:space="preserve"> 1 k.p.k. w takiej sytuacji, stronom przysługuje skarga do Sądu Najwyższego. Nie ma wątpliwości co do tego, że przepis ten ma zastosowanie do postępowań </w:t>
      </w:r>
      <w:r w:rsidR="004612E3">
        <w:t xml:space="preserve">prowadzonych </w:t>
      </w:r>
      <w:r w:rsidRPr="00EB0633">
        <w:t xml:space="preserve">przed sądami karnymi. Pojawia się jednak wątpliwość, czy przepis można stosować również w postępowaniu w przedmiocie odpowiedzialności zawodowej lekarzy. </w:t>
      </w:r>
    </w:p>
    <w:p w14:paraId="2E284EC2" w14:textId="77777777" w:rsidR="004612E3" w:rsidRDefault="004612E3" w:rsidP="00433C37">
      <w:pPr>
        <w:jc w:val="both"/>
      </w:pPr>
    </w:p>
    <w:p w14:paraId="26A50765" w14:textId="36CEC64E" w:rsidR="00433C37" w:rsidRPr="00EB0633" w:rsidRDefault="004612E3" w:rsidP="00433C37">
      <w:pPr>
        <w:jc w:val="both"/>
      </w:pPr>
      <w:r>
        <w:t>W U</w:t>
      </w:r>
      <w:r w:rsidR="00433C37" w:rsidRPr="00EB0633">
        <w:t>chwale składu siedmiu sędziów Sądu Najwyższego z dnia 14 września 2017r. wskazano, że „przepisy rozdziału 55a k.p.k. o skardze na wyrok sądu odwoławczego</w:t>
      </w:r>
      <w:r w:rsidR="00162C1A" w:rsidRPr="00EB0633">
        <w:t xml:space="preserve">, uchylający wyrok sądu I instancji i przekazujący sprawę do ponownego rozpoznania, znajdują odpowiednie zastosowanie (art. 74(1) pkt 1 ustawy z dnia 6 lipca 1982r. o radcach prawnych) w postępowaniu dyscyplinarnym uregulowanym przepisami ustawy o radcach prawnych, a wniesioną skargę rozpoznaje Sąd Najwyższy. </w:t>
      </w:r>
    </w:p>
    <w:p w14:paraId="24196BA9" w14:textId="77777777" w:rsidR="00162C1A" w:rsidRPr="00EB0633" w:rsidRDefault="00162C1A" w:rsidP="00433C37">
      <w:pPr>
        <w:jc w:val="both"/>
      </w:pPr>
      <w:r w:rsidRPr="00EB0633">
        <w:t xml:space="preserve">Pojawia się pytanie czy ta instytucja znajduje zastosowanie także w postępowaniach w przedmiocie odpowiedzialności zawodowej lekarzy. </w:t>
      </w:r>
    </w:p>
    <w:p w14:paraId="7E43EE2F" w14:textId="77777777" w:rsidR="00162C1A" w:rsidRPr="00EB0633" w:rsidRDefault="00162C1A" w:rsidP="00433C37">
      <w:pPr>
        <w:jc w:val="both"/>
      </w:pPr>
      <w:r w:rsidRPr="00EB0633">
        <w:t>Na to pytanie próbował odpowiedzieć Prelegent prokurator Andrzej Jóźwiak.</w:t>
      </w:r>
    </w:p>
    <w:p w14:paraId="0F157F55" w14:textId="77777777" w:rsidR="00162C1A" w:rsidRPr="00EB0633" w:rsidRDefault="00162C1A" w:rsidP="00433C37">
      <w:pPr>
        <w:jc w:val="both"/>
      </w:pPr>
    </w:p>
    <w:p w14:paraId="46C295E7" w14:textId="01ADCBC6" w:rsidR="00162C1A" w:rsidRPr="00EB0633" w:rsidRDefault="00162C1A" w:rsidP="00433C37">
      <w:pPr>
        <w:jc w:val="both"/>
      </w:pPr>
      <w:r w:rsidRPr="00EB0633">
        <w:t>W ocenie prokuratora</w:t>
      </w:r>
      <w:r w:rsidR="004612E3">
        <w:t>,</w:t>
      </w:r>
      <w:r w:rsidRPr="00EB0633">
        <w:t xml:space="preserve"> uchwała ma charakter prawa obowiązującego. Wniosek Pierwszego Prezesa SN do składu siedmiu Sędziów</w:t>
      </w:r>
      <w:r w:rsidR="004612E3">
        <w:t xml:space="preserve"> SN</w:t>
      </w:r>
      <w:r w:rsidRPr="00EB0633">
        <w:t xml:space="preserve"> dotyczył tylko radców prawnych. Dlatego uchwała odnosi się do radców i nie można tu stosować wykładni rozszerzającej. Rozdział 55a to nowy rozdział w dziale nadzwyczajne środki zaskarżenia, a więc takie, których nie stosuje się na co dzień. </w:t>
      </w:r>
    </w:p>
    <w:p w14:paraId="31FD9756" w14:textId="77777777" w:rsidR="00162C1A" w:rsidRPr="00EB0633" w:rsidRDefault="00162C1A" w:rsidP="00433C37">
      <w:pPr>
        <w:jc w:val="both"/>
      </w:pPr>
    </w:p>
    <w:p w14:paraId="68A37E9A" w14:textId="77777777" w:rsidR="00162C1A" w:rsidRPr="00EB0633" w:rsidRDefault="00162C1A" w:rsidP="00433C37">
      <w:pPr>
        <w:jc w:val="both"/>
      </w:pPr>
      <w:r w:rsidRPr="00EB0633">
        <w:t xml:space="preserve">Trzeba jednak zauważyć, że zgodnie z art. 112 ustawy o izbach lekarskich </w:t>
      </w:r>
      <w:r w:rsidR="00356926" w:rsidRPr="00EB0633">
        <w:t>w</w:t>
      </w:r>
      <w:r w:rsidRPr="00EB0633">
        <w:t xml:space="preserve"> sprawach nieuregulowanych w ustawie do postępowania w przedmiocie odpowiedzialności zawodowej stosuje się odpowiednio przepisy </w:t>
      </w:r>
      <w:hyperlink r:id="rId8" w:anchor="/document/16798685?cm=DOCUMENT" w:history="1">
        <w:r w:rsidRPr="00EB0633">
          <w:rPr>
            <w:rStyle w:val="Hipercze"/>
            <w:color w:val="auto"/>
            <w:u w:val="none"/>
          </w:rPr>
          <w:t>ustawy</w:t>
        </w:r>
      </w:hyperlink>
      <w:r w:rsidRPr="00EB0633">
        <w:t xml:space="preserve"> z dnia 6 czerwca 1997 r. - Kodeks postępowania karnego; nie stosuje się przepisów o oskarżycielu prywatnym, powodzie cywilnym, przedstawicielu społecznym, o </w:t>
      </w:r>
      <w:r w:rsidRPr="00EB0633">
        <w:lastRenderedPageBreak/>
        <w:t>postępowaniu przygotowawczym oraz środkach przymusu, z wyjątki</w:t>
      </w:r>
      <w:r w:rsidR="00356926" w:rsidRPr="00EB0633">
        <w:t xml:space="preserve">em przepisów o karze pieniężnej. W takim razie wydawać by się mogło, że jednak przepisy z rozdziału 55a znajdują zastosowanie do postępowań w przedmiocie odpowiedzialności zawodowej lekarzy. </w:t>
      </w:r>
    </w:p>
    <w:p w14:paraId="633CDB45" w14:textId="77777777" w:rsidR="005F5C6E" w:rsidRPr="00EB0633" w:rsidRDefault="005F5C6E" w:rsidP="00433C37">
      <w:pPr>
        <w:jc w:val="both"/>
      </w:pPr>
    </w:p>
    <w:p w14:paraId="30B4D38A" w14:textId="77777777" w:rsidR="005F5C6E" w:rsidRPr="00EB0633" w:rsidRDefault="005F5C6E" w:rsidP="00433C37">
      <w:pPr>
        <w:jc w:val="both"/>
      </w:pPr>
      <w:r w:rsidRPr="00EB0633">
        <w:t xml:space="preserve">W ocenie prokuratora, nic nie stało na przeszkodzie, żeby Sąd Najwyższy, skoro korporacji zawodowych na terenie Polski jest kilka, bardziej kompleksowo pochylił się nad innymi korporacjami, a tego nie zrobił. </w:t>
      </w:r>
    </w:p>
    <w:p w14:paraId="24241712" w14:textId="77777777" w:rsidR="005F5C6E" w:rsidRPr="00EB0633" w:rsidRDefault="005F5C6E" w:rsidP="00433C37">
      <w:pPr>
        <w:jc w:val="both"/>
      </w:pPr>
    </w:p>
    <w:p w14:paraId="1795E163" w14:textId="036F2261" w:rsidR="005F5C6E" w:rsidRPr="00EB0633" w:rsidRDefault="005F5C6E" w:rsidP="005F5C6E">
      <w:pPr>
        <w:jc w:val="both"/>
      </w:pPr>
      <w:r w:rsidRPr="00EB0633">
        <w:t xml:space="preserve">Uczestnicy spotkania zwrócili uwagę, że zgodnie z treścią art. </w:t>
      </w:r>
      <w:r w:rsidRPr="00EB0633">
        <w:rPr>
          <w:bCs/>
        </w:rPr>
        <w:t>539a.  §  1 k.p.k</w:t>
      </w:r>
      <w:r w:rsidRPr="00EB0633">
        <w:rPr>
          <w:b/>
          <w:bCs/>
        </w:rPr>
        <w:t>. </w:t>
      </w:r>
      <w:r w:rsidRPr="00EB0633">
        <w:t>od wyroku sądu odwoławczego uchylającego wyrok sądu pierwszej instancji i przekazującego sprawę do ponownego rozpoznania</w:t>
      </w:r>
      <w:r w:rsidR="004612E3">
        <w:t>,</w:t>
      </w:r>
      <w:r w:rsidRPr="00EB0633">
        <w:t xml:space="preserve"> stronom przysługuje skarga do Sądu Najwyższego. „Sądu odwoławczego”, a więc także Naczelnego Sądu Lekarskiego. Pan prokurator powiedział, że jest przekonany co do tego, że w postępowaniach karnych można stosować ten przepis, ale nie ma pewności czy w postępowaniach prowadzonych przed sądami lekarskimi też. Zgodnie bowiem z art. 112 ustawy o izbach lekarskich przepisy k.p.k. stosuje się „odpowiednio” a nie wprost. Następnie prokurator przeszedł do omówienia wprowadzonych przepisów dotyczących skargi na wyrok sądu odwoławczego. </w:t>
      </w:r>
    </w:p>
    <w:p w14:paraId="6BF45041" w14:textId="77777777" w:rsidR="005F5C6E" w:rsidRPr="00EB0633" w:rsidRDefault="005F5C6E" w:rsidP="005F5C6E">
      <w:pPr>
        <w:jc w:val="both"/>
      </w:pPr>
    </w:p>
    <w:p w14:paraId="16B7BDC9" w14:textId="5910CAA9" w:rsidR="00EB0633" w:rsidRDefault="005F5C6E" w:rsidP="00EB0633">
      <w:pPr>
        <w:jc w:val="both"/>
        <w:rPr>
          <w:bCs/>
        </w:rPr>
      </w:pPr>
      <w:r w:rsidRPr="00EB0633">
        <w:t xml:space="preserve">Zgodnie z art. 539a </w:t>
      </w:r>
      <w:r w:rsidRPr="00EB0633">
        <w:rPr>
          <w:bCs/>
        </w:rPr>
        <w:t>§3 k.p.k.  </w:t>
      </w:r>
      <w:r w:rsidRPr="00EB0633">
        <w:t>skarga może być wniesiona wyłącznie z powodu naruszenia art. 437 lub z powodu uchybień określonych w art. 439 § 1. Wcale nie łatwo jest znaleźć taką podstawę do wniesienia skargi. Pod skargą musi podpisać się prawnik. Pojawia się także wymóg terminowości - skargę wnosi się w terminie 7 dni od daty doręczenia wyroku z uzasadnieniem.</w:t>
      </w:r>
      <w:r w:rsidR="00EB0633" w:rsidRPr="00EB0633">
        <w:t xml:space="preserve"> Jest to termin prekluzyjny, nieprzekraczalny, nie ma możliwości jego przywrócenia. Zgodnie z art. 539b </w:t>
      </w:r>
      <w:r w:rsidR="00EB0633" w:rsidRPr="00EB0633">
        <w:rPr>
          <w:bCs/>
        </w:rPr>
        <w:t xml:space="preserve">§2 </w:t>
      </w:r>
      <w:r w:rsidR="00851DB1">
        <w:rPr>
          <w:bCs/>
        </w:rPr>
        <w:t xml:space="preserve">k.p.k. </w:t>
      </w:r>
      <w:r w:rsidR="00EB0633" w:rsidRPr="00EB0633">
        <w:rPr>
          <w:bCs/>
        </w:rPr>
        <w:t>wniesienie skargi powoduje wstrzymanie wykonania zaskarżonego wyroku.</w:t>
      </w:r>
      <w:r w:rsidR="007D7C48">
        <w:rPr>
          <w:bCs/>
        </w:rPr>
        <w:t xml:space="preserve"> W ocenie prokuratora może to być wykorzystywane do wstrzymania wykonania orzeczenia. </w:t>
      </w:r>
    </w:p>
    <w:p w14:paraId="21F8785A" w14:textId="77777777" w:rsidR="007D7C48" w:rsidRDefault="007D7C48" w:rsidP="00EB0633">
      <w:pPr>
        <w:jc w:val="both"/>
        <w:rPr>
          <w:bCs/>
        </w:rPr>
      </w:pPr>
    </w:p>
    <w:p w14:paraId="542DCE3D" w14:textId="77777777" w:rsidR="007D7C48" w:rsidRDefault="007D7C48" w:rsidP="00EB0633">
      <w:pPr>
        <w:jc w:val="both"/>
        <w:rPr>
          <w:bCs/>
        </w:rPr>
      </w:pPr>
      <w:r>
        <w:rPr>
          <w:bCs/>
        </w:rPr>
        <w:t xml:space="preserve">Następnie głos zabrał Naczelny Rzecznik Odpowiedzialności Zawodowej lek. Grzegorz Wrona. Zdaniem NROZ skargę na wyrok sądu odwoławczego w postępowaniach w przedmiocie odpowiedzialności zawodowej lekarzy stosuje się. Trzeba taką skargę złożyć, po to, aby wysądować, w jaki sposób Sąd Najwyższy ją potraktuje. Dopóki Sąd Najwyższy nie odmówi jej rozpoznania należy zakładać, że taka skarga od orzeczenia NSL przysługuje. </w:t>
      </w:r>
    </w:p>
    <w:p w14:paraId="7C4DE72D" w14:textId="302B91D8" w:rsidR="007D7C48" w:rsidRDefault="00851DB1" w:rsidP="00EB0633">
      <w:pPr>
        <w:jc w:val="both"/>
        <w:rPr>
          <w:bCs/>
        </w:rPr>
      </w:pPr>
      <w:r>
        <w:rPr>
          <w:bCs/>
        </w:rPr>
        <w:t xml:space="preserve">NROZ zauważył, że w praktyce </w:t>
      </w:r>
      <w:r w:rsidR="007D7C48">
        <w:rPr>
          <w:bCs/>
        </w:rPr>
        <w:t>każdy Rzecznik wyznaczony do prowadzenia określonej sprawy decyduje o tym w jaki sposób sprawa ma zostać zakończona. Trzeba jednak pamiętać, że bardzo często sąd II instancji nie musi uchylać orzeczenia i kierować sprawy do ponownego rozpoznania np.  w sytuacji, gdy istnieje potrzeba przeprowadzenia dowodu z opinii biegłego. Taki dowód równie dobrze może być przeprowadzony przed sądem II instancji.</w:t>
      </w:r>
    </w:p>
    <w:p w14:paraId="53AAB490" w14:textId="77777777" w:rsidR="007D7C48" w:rsidRDefault="007D7C48" w:rsidP="00EB0633">
      <w:pPr>
        <w:jc w:val="both"/>
        <w:rPr>
          <w:bCs/>
        </w:rPr>
      </w:pPr>
      <w:r>
        <w:rPr>
          <w:bCs/>
        </w:rPr>
        <w:t>Skarga na orzeczenie NSL uchylające orzeczenie OSL i przekazujące sprawę do ponownego rozpoznania przyspieszy postępowanie. Obecnie, po uchyleniu orzeczenia przez sąd II instancji trzeba czekać na sporządzenie uzasadnienia przez NSL, następnie na wyznaczenie terminu rozprawy przez OSL. Postępowanie c</w:t>
      </w:r>
      <w:r w:rsidR="00C9251E">
        <w:rPr>
          <w:bCs/>
        </w:rPr>
        <w:t xml:space="preserve">zęsto niepotrzebnie się wydłuża, zwłaszcza w wyniku działań obrońców. </w:t>
      </w:r>
    </w:p>
    <w:p w14:paraId="56DDE508" w14:textId="77777777" w:rsidR="00633529" w:rsidRDefault="00633529" w:rsidP="00EB0633">
      <w:pPr>
        <w:jc w:val="both"/>
        <w:rPr>
          <w:bCs/>
        </w:rPr>
      </w:pPr>
    </w:p>
    <w:p w14:paraId="19A85341" w14:textId="77777777" w:rsidR="00633529" w:rsidRDefault="00633529" w:rsidP="00EB0633">
      <w:pPr>
        <w:jc w:val="both"/>
        <w:rPr>
          <w:bCs/>
        </w:rPr>
      </w:pPr>
    </w:p>
    <w:p w14:paraId="698E94F1" w14:textId="77777777" w:rsidR="00633529" w:rsidRDefault="00633529" w:rsidP="00EB0633">
      <w:pPr>
        <w:jc w:val="both"/>
        <w:rPr>
          <w:bCs/>
        </w:rPr>
      </w:pPr>
    </w:p>
    <w:p w14:paraId="1DF4C176" w14:textId="77777777" w:rsidR="00633529" w:rsidRDefault="00633529" w:rsidP="00EB0633">
      <w:pPr>
        <w:jc w:val="both"/>
        <w:rPr>
          <w:bCs/>
        </w:rPr>
      </w:pPr>
      <w:r>
        <w:rPr>
          <w:bCs/>
        </w:rPr>
        <w:t xml:space="preserve">W drugiej części warsztatów na polecenie NROZ, pracownik Biura Paulina Tomaszewska przedstawiła krótko główne spostrzeżenia i uwagi, które pojawiły się podczas konferencji </w:t>
      </w:r>
      <w:r w:rsidRPr="00851DB1">
        <w:rPr>
          <w:bCs/>
          <w:i/>
        </w:rPr>
        <w:t>Priorytety w ochronie zdrowia 2018</w:t>
      </w:r>
      <w:r>
        <w:rPr>
          <w:bCs/>
        </w:rPr>
        <w:t xml:space="preserve"> podczas panelu dotyczącego szczepień. </w:t>
      </w:r>
    </w:p>
    <w:p w14:paraId="51AE9286" w14:textId="59CD73C1" w:rsidR="00633529" w:rsidRDefault="00633529" w:rsidP="00EB0633">
      <w:pPr>
        <w:jc w:val="both"/>
        <w:rPr>
          <w:bCs/>
        </w:rPr>
      </w:pPr>
      <w:r>
        <w:rPr>
          <w:bCs/>
        </w:rPr>
        <w:t xml:space="preserve">Prelegentami, którzy zabrali głos w sprawie szczepień byli znakomici </w:t>
      </w:r>
      <w:r w:rsidR="00851DB1">
        <w:rPr>
          <w:bCs/>
        </w:rPr>
        <w:t>eksperci</w:t>
      </w:r>
      <w:r>
        <w:rPr>
          <w:bCs/>
        </w:rPr>
        <w:t xml:space="preserve">: </w:t>
      </w:r>
    </w:p>
    <w:p w14:paraId="31380389" w14:textId="77777777" w:rsidR="00633529" w:rsidRDefault="003D4845" w:rsidP="00EB0633">
      <w:pPr>
        <w:jc w:val="both"/>
        <w:rPr>
          <w:bCs/>
        </w:rPr>
      </w:pPr>
      <w:r>
        <w:rPr>
          <w:bCs/>
        </w:rPr>
        <w:t xml:space="preserve">prof. </w:t>
      </w:r>
      <w:r w:rsidRPr="003D4845">
        <w:rPr>
          <w:bCs/>
        </w:rPr>
        <w:t>Ewa Bernatowska</w:t>
      </w:r>
      <w:r>
        <w:rPr>
          <w:bCs/>
        </w:rPr>
        <w:t xml:space="preserve">, prof. </w:t>
      </w:r>
      <w:r w:rsidRPr="003D4845">
        <w:rPr>
          <w:bCs/>
        </w:rPr>
        <w:t>Ewa Helwich</w:t>
      </w:r>
      <w:r>
        <w:rPr>
          <w:bCs/>
        </w:rPr>
        <w:t xml:space="preserve">, prof. Teresa Jackowska, prof. Ernest Kuchar, minister Marek Posobkiewicz, prof. </w:t>
      </w:r>
      <w:r w:rsidRPr="003D4845">
        <w:rPr>
          <w:bCs/>
        </w:rPr>
        <w:t>Mirosław Wysocki</w:t>
      </w:r>
      <w:r>
        <w:rPr>
          <w:bCs/>
        </w:rPr>
        <w:t>.</w:t>
      </w:r>
    </w:p>
    <w:p w14:paraId="4CEC64FA" w14:textId="77777777" w:rsidR="003D4845" w:rsidRDefault="003D4845" w:rsidP="00EB0633">
      <w:pPr>
        <w:jc w:val="both"/>
        <w:rPr>
          <w:bCs/>
        </w:rPr>
      </w:pPr>
    </w:p>
    <w:p w14:paraId="23EAAC3B" w14:textId="77777777" w:rsidR="00633529" w:rsidRPr="00633529" w:rsidRDefault="00633529" w:rsidP="00633529">
      <w:pPr>
        <w:jc w:val="both"/>
        <w:rPr>
          <w:bCs/>
        </w:rPr>
      </w:pPr>
      <w:r w:rsidRPr="00633529">
        <w:rPr>
          <w:bCs/>
        </w:rPr>
        <w:t>Podstawowe tezy dyskusji można było sprowadzić do następujących zagadnień:</w:t>
      </w:r>
    </w:p>
    <w:p w14:paraId="7CDE0C00" w14:textId="77777777" w:rsidR="00633529" w:rsidRPr="00633529" w:rsidRDefault="00633529" w:rsidP="00633529">
      <w:pPr>
        <w:numPr>
          <w:ilvl w:val="0"/>
          <w:numId w:val="1"/>
        </w:numPr>
        <w:jc w:val="both"/>
        <w:rPr>
          <w:bCs/>
        </w:rPr>
      </w:pPr>
      <w:r w:rsidRPr="00633529">
        <w:rPr>
          <w:bCs/>
        </w:rPr>
        <w:t>Wszyscy uczestnicy panelu byli zgodni co do tego, że warto się szczepić. Wymieniali przykładowe korzyści, poparte badaniami. I tak na przykład:</w:t>
      </w:r>
    </w:p>
    <w:p w14:paraId="6D7F6185" w14:textId="77777777" w:rsidR="00633529" w:rsidRPr="00633529" w:rsidRDefault="00633529" w:rsidP="00633529">
      <w:pPr>
        <w:jc w:val="both"/>
        <w:rPr>
          <w:bCs/>
        </w:rPr>
      </w:pPr>
      <w:r w:rsidRPr="003D4845">
        <w:rPr>
          <w:bCs/>
        </w:rPr>
        <w:t>Minister Marek Posobkiewicz, główny inspektor sanitarny zwrócił</w:t>
      </w:r>
      <w:r w:rsidRPr="00633529">
        <w:rPr>
          <w:bCs/>
        </w:rPr>
        <w:t xml:space="preserve"> uwagę, że w zeszłym roku w Polsce nie było żadnego zgonu z powodu odry. Właśnie dzięki </w:t>
      </w:r>
      <w:r w:rsidR="003D4845">
        <w:rPr>
          <w:bCs/>
        </w:rPr>
        <w:t xml:space="preserve">dobrej wyszczepialności w Polsce. </w:t>
      </w:r>
      <w:r w:rsidRPr="00633529">
        <w:rPr>
          <w:bCs/>
        </w:rPr>
        <w:t>W Europie zaś, zgonów z powodu odry było 30.</w:t>
      </w:r>
    </w:p>
    <w:p w14:paraId="4ACD1F88" w14:textId="39DE8935" w:rsidR="00633529" w:rsidRPr="00633529" w:rsidRDefault="00633529" w:rsidP="00633529">
      <w:pPr>
        <w:jc w:val="both"/>
        <w:rPr>
          <w:bCs/>
        </w:rPr>
      </w:pPr>
      <w:r w:rsidRPr="00633529">
        <w:rPr>
          <w:bCs/>
        </w:rPr>
        <w:t xml:space="preserve">Ponadto prof. </w:t>
      </w:r>
      <w:r w:rsidR="00851DB1">
        <w:rPr>
          <w:bCs/>
        </w:rPr>
        <w:t xml:space="preserve">Mirosław </w:t>
      </w:r>
      <w:r w:rsidRPr="00633529">
        <w:rPr>
          <w:bCs/>
        </w:rPr>
        <w:t xml:space="preserve">Wysocki zwrócił uwagę, iż w Polsce, ilość zachorowań na odrę w ciągu roku jest rzędu kilkadziesięciu przypadków, zaś w takich krajach jak Włochy, czy Rumunia kilkanaście tysięcy. </w:t>
      </w:r>
    </w:p>
    <w:p w14:paraId="3A3F73C2" w14:textId="77777777" w:rsidR="00633529" w:rsidRPr="00633529" w:rsidRDefault="00633529" w:rsidP="00633529">
      <w:pPr>
        <w:jc w:val="both"/>
        <w:rPr>
          <w:bCs/>
        </w:rPr>
      </w:pPr>
      <w:r w:rsidRPr="00633529">
        <w:rPr>
          <w:bCs/>
        </w:rPr>
        <w:t>Drugi przykład bezpośrednich korzyści płynących ze szczepień mogą stanowić Kielce, gdzie od 10-u lat prowadzony jest program bezpłatnych szczepień ochronnych przeciwko pneumokokom u dzieci. Jak zauważyła prof. Teresa Jackowska  w tym rejonie nie zdarzają się praktycznie u dziec</w:t>
      </w:r>
      <w:r w:rsidR="003D4845">
        <w:rPr>
          <w:bCs/>
        </w:rPr>
        <w:t>i</w:t>
      </w:r>
      <w:r w:rsidRPr="00633529">
        <w:rPr>
          <w:bCs/>
        </w:rPr>
        <w:t xml:space="preserve"> zachorowania na zapalenia płuc, zapelenia opon mózgowych. </w:t>
      </w:r>
    </w:p>
    <w:p w14:paraId="2F489AAA" w14:textId="77777777" w:rsidR="00633529" w:rsidRPr="00633529" w:rsidRDefault="00633529" w:rsidP="00633529">
      <w:pPr>
        <w:jc w:val="both"/>
        <w:rPr>
          <w:bCs/>
        </w:rPr>
      </w:pPr>
      <w:r w:rsidRPr="00633529">
        <w:rPr>
          <w:bCs/>
        </w:rPr>
        <w:t>Uczestnicy panelu wskazywali na aspekty farmakoekonomii szczepień, a więc:</w:t>
      </w:r>
    </w:p>
    <w:p w14:paraId="0F6246A6" w14:textId="77777777" w:rsidR="00633529" w:rsidRPr="00633529" w:rsidRDefault="00633529" w:rsidP="00633529">
      <w:pPr>
        <w:jc w:val="both"/>
        <w:rPr>
          <w:bCs/>
        </w:rPr>
      </w:pPr>
      <w:r w:rsidRPr="00633529">
        <w:rPr>
          <w:bCs/>
        </w:rPr>
        <w:t xml:space="preserve">Wysokie koszty hospitalizacji i leczenia chorych na choroby zakaźne. Jako przykład prof. Ernest Kuchar wskazał, że rocznie z powodu ostrych biegunek rotawirusowych prowadzonych jest około 50 tys. hospitalizacji.    </w:t>
      </w:r>
    </w:p>
    <w:p w14:paraId="483D0E71" w14:textId="77777777" w:rsidR="00633529" w:rsidRPr="00633529" w:rsidRDefault="00633529" w:rsidP="00633529">
      <w:pPr>
        <w:jc w:val="both"/>
        <w:rPr>
          <w:bCs/>
        </w:rPr>
      </w:pPr>
      <w:r w:rsidRPr="00633529">
        <w:rPr>
          <w:bCs/>
        </w:rPr>
        <w:t xml:space="preserve">W oparciu o liczbę zachorowań i koszty hospitalizacji, wyliczono, że koszty szczepień całej populacji przeciwko rotawirusom zwróciłyby się po 2 latach. </w:t>
      </w:r>
    </w:p>
    <w:p w14:paraId="695FF178" w14:textId="77777777" w:rsidR="00633529" w:rsidRPr="00633529" w:rsidRDefault="00633529" w:rsidP="00633529">
      <w:pPr>
        <w:jc w:val="both"/>
        <w:rPr>
          <w:bCs/>
        </w:rPr>
      </w:pPr>
      <w:r w:rsidRPr="00633529">
        <w:rPr>
          <w:bCs/>
        </w:rPr>
        <w:t xml:space="preserve">Im więcej szczepień, tym mniejsza liczba zachorowań i tym mniej lekarzy zaangażowanych w proces leczenia pacjentów z chorobami zakaźnymi. </w:t>
      </w:r>
    </w:p>
    <w:p w14:paraId="20BF826E" w14:textId="77777777" w:rsidR="00633529" w:rsidRPr="00633529" w:rsidRDefault="00633529" w:rsidP="00633529">
      <w:pPr>
        <w:jc w:val="both"/>
        <w:rPr>
          <w:bCs/>
        </w:rPr>
      </w:pPr>
      <w:r w:rsidRPr="00633529">
        <w:rPr>
          <w:bCs/>
        </w:rPr>
        <w:t xml:space="preserve">Uczestnicy panelu wskazywali też na znaczenie szeroko pojętej edukacji w zakresie konieczności prowadzenia szczepień. </w:t>
      </w:r>
    </w:p>
    <w:p w14:paraId="6DFB76C5" w14:textId="77777777" w:rsidR="00633529" w:rsidRPr="00633529" w:rsidRDefault="00633529" w:rsidP="00633529">
      <w:pPr>
        <w:jc w:val="both"/>
        <w:rPr>
          <w:bCs/>
        </w:rPr>
      </w:pPr>
      <w:r w:rsidRPr="00633529">
        <w:rPr>
          <w:bCs/>
        </w:rPr>
        <w:t>Wskazywali na zagrożenia płynące z działań ruchów antyszczepionkowych.</w:t>
      </w:r>
    </w:p>
    <w:p w14:paraId="63086856" w14:textId="77ECADEA" w:rsidR="00633529" w:rsidRPr="003D4845" w:rsidRDefault="00633529" w:rsidP="00633529">
      <w:pPr>
        <w:jc w:val="both"/>
        <w:rPr>
          <w:bCs/>
        </w:rPr>
      </w:pPr>
      <w:r w:rsidRPr="003D4845">
        <w:rPr>
          <w:bCs/>
        </w:rPr>
        <w:t>Prof. Mirosław Wysocki</w:t>
      </w:r>
      <w:r w:rsidR="003D4845" w:rsidRPr="003D4845">
        <w:rPr>
          <w:bCs/>
        </w:rPr>
        <w:t xml:space="preserve"> zauważył, że w</w:t>
      </w:r>
      <w:r w:rsidRPr="003D4845">
        <w:rPr>
          <w:bCs/>
        </w:rPr>
        <w:t xml:space="preserve"> 2005 r. </w:t>
      </w:r>
      <w:r w:rsidR="00851DB1">
        <w:rPr>
          <w:bCs/>
        </w:rPr>
        <w:t>było</w:t>
      </w:r>
      <w:r w:rsidRPr="003D4845">
        <w:rPr>
          <w:bCs/>
        </w:rPr>
        <w:t xml:space="preserve"> 5 tys. dzieci, a właściwie rodziców, którzy odmówili szczepień. W roku 2017r. to jest już 40 tys.</w:t>
      </w:r>
    </w:p>
    <w:p w14:paraId="5497A659" w14:textId="77777777" w:rsidR="00633529" w:rsidRPr="00633529" w:rsidRDefault="00633529" w:rsidP="00633529">
      <w:pPr>
        <w:jc w:val="both"/>
        <w:rPr>
          <w:bCs/>
        </w:rPr>
      </w:pPr>
      <w:r w:rsidRPr="00633529">
        <w:rPr>
          <w:bCs/>
        </w:rPr>
        <w:t>Te dane może nie są zatrważające, jeśli chodzi o liczbę dzieci zaszczepionych, natomiast niepokojąca jest tendencja wzrostowa. Ten problem aktualny jest we wszystkich państwach Europy. We Włoszech wprowadzone zostały nowe rozwiązania prawne, zgodnie z którymi dziecko, które nie ma wykonanych podstawowych szczepień ochronnych nie zostanie przyjęte do przedszkola, czy do szkoły. Takie samo rozwiązanie wprowadzone zostało również we Francji.</w:t>
      </w:r>
    </w:p>
    <w:p w14:paraId="58D58EE1" w14:textId="77777777" w:rsidR="00633529" w:rsidRDefault="00633529" w:rsidP="00EB0633">
      <w:pPr>
        <w:jc w:val="both"/>
        <w:rPr>
          <w:bCs/>
        </w:rPr>
      </w:pPr>
    </w:p>
    <w:p w14:paraId="13D732D2" w14:textId="77777777" w:rsidR="00C9251E" w:rsidRDefault="00C9251E" w:rsidP="00EB0633">
      <w:pPr>
        <w:jc w:val="both"/>
        <w:rPr>
          <w:bCs/>
        </w:rPr>
      </w:pPr>
    </w:p>
    <w:p w14:paraId="4DD8F23A" w14:textId="77777777" w:rsidR="00851DB1" w:rsidRDefault="00851DB1" w:rsidP="00EB0633">
      <w:pPr>
        <w:jc w:val="both"/>
        <w:rPr>
          <w:bCs/>
        </w:rPr>
      </w:pPr>
    </w:p>
    <w:p w14:paraId="16D17D9B" w14:textId="77777777" w:rsidR="00851DB1" w:rsidRDefault="00851DB1" w:rsidP="00EB0633">
      <w:pPr>
        <w:jc w:val="both"/>
        <w:rPr>
          <w:bCs/>
        </w:rPr>
      </w:pPr>
    </w:p>
    <w:p w14:paraId="41C5570A" w14:textId="7DCC5150" w:rsidR="00C9251E" w:rsidRDefault="00C9251E" w:rsidP="00EB0633">
      <w:pPr>
        <w:jc w:val="both"/>
        <w:rPr>
          <w:bCs/>
        </w:rPr>
      </w:pPr>
      <w:r>
        <w:rPr>
          <w:bCs/>
        </w:rPr>
        <w:lastRenderedPageBreak/>
        <w:t xml:space="preserve">W </w:t>
      </w:r>
      <w:r w:rsidR="00633529">
        <w:rPr>
          <w:bCs/>
        </w:rPr>
        <w:t>trzeciej</w:t>
      </w:r>
      <w:r>
        <w:rPr>
          <w:bCs/>
        </w:rPr>
        <w:t xml:space="preserve"> części warsztatów, Zastępca NROZ dr</w:t>
      </w:r>
      <w:r w:rsidR="004043F9">
        <w:rPr>
          <w:bCs/>
        </w:rPr>
        <w:t xml:space="preserve"> Krzysztof Lubecki omówi temat „badania kropli żywej krwi”. </w:t>
      </w:r>
      <w:r>
        <w:rPr>
          <w:bCs/>
        </w:rPr>
        <w:t xml:space="preserve"> </w:t>
      </w:r>
    </w:p>
    <w:p w14:paraId="4AA8EFAD" w14:textId="038B79F4" w:rsidR="004043F9" w:rsidRDefault="004043F9" w:rsidP="00EB0633">
      <w:pPr>
        <w:jc w:val="both"/>
        <w:rPr>
          <w:bCs/>
        </w:rPr>
      </w:pPr>
      <w:r>
        <w:rPr>
          <w:bCs/>
        </w:rPr>
        <w:t>W internecie można znaleźć oferty, gdzie za 150-300 zł na podstawie 1 kropli krwi specjalista może ocenić, czy klient nie cierpi na poważną chorobę, nie musi poddać się oczyszczaniu z toksyn. Dr Lubecki podkreślił, że są to pseudo prozdrowotne działania prowadzone przez osoby, które ukończyły różne kursy prowadzone przez lekarzy. Pojawia się pytanie, czy lekarze którzy prowadzą takie szkolenia nie naruszają art</w:t>
      </w:r>
      <w:r w:rsidR="00851DB1">
        <w:rPr>
          <w:bCs/>
        </w:rPr>
        <w:t>. 1, 6</w:t>
      </w:r>
      <w:r>
        <w:rPr>
          <w:bCs/>
        </w:rPr>
        <w:t>, 57 K</w:t>
      </w:r>
      <w:r w:rsidR="00851DB1">
        <w:rPr>
          <w:bCs/>
        </w:rPr>
        <w:t xml:space="preserve">odeksu </w:t>
      </w:r>
      <w:r>
        <w:rPr>
          <w:bCs/>
        </w:rPr>
        <w:t>E</w:t>
      </w:r>
      <w:r w:rsidR="00851DB1">
        <w:rPr>
          <w:bCs/>
        </w:rPr>
        <w:t xml:space="preserve">tyki </w:t>
      </w:r>
      <w:r>
        <w:rPr>
          <w:bCs/>
        </w:rPr>
        <w:t>L</w:t>
      </w:r>
      <w:r w:rsidR="00851DB1">
        <w:rPr>
          <w:bCs/>
        </w:rPr>
        <w:t>ekarskiej</w:t>
      </w:r>
      <w:r>
        <w:rPr>
          <w:bCs/>
        </w:rPr>
        <w:t>? Niestety osób, które korzystają z takich usług jest coraz więcej. Następnie dr</w:t>
      </w:r>
      <w:r w:rsidR="00851DB1">
        <w:rPr>
          <w:bCs/>
        </w:rPr>
        <w:t xml:space="preserve"> Krzysztof</w:t>
      </w:r>
      <w:r>
        <w:rPr>
          <w:bCs/>
        </w:rPr>
        <w:t xml:space="preserve"> Lubecki przedstawił listę nazwisk lekarzy, którzy prowadzą szkolenia ze wskazanego zakresu. Lista została sporządzona na podstawie ogłoszeń zamieszczanych w internecie.</w:t>
      </w:r>
    </w:p>
    <w:p w14:paraId="4DFF9FE8" w14:textId="18D24269" w:rsidR="004043F9" w:rsidRDefault="004043F9" w:rsidP="00EB0633">
      <w:pPr>
        <w:jc w:val="both"/>
        <w:rPr>
          <w:bCs/>
        </w:rPr>
      </w:pPr>
      <w:r>
        <w:rPr>
          <w:bCs/>
        </w:rPr>
        <w:t xml:space="preserve">Szkolenia prowadzone są przez lekarzy, a badania przez diagnostów laboratoryjnych na okoliczność występowania larw pasożytów, zakwaszenia organizmu. </w:t>
      </w:r>
      <w:r w:rsidR="00633529">
        <w:rPr>
          <w:bCs/>
        </w:rPr>
        <w:t xml:space="preserve">Po przeprowadzonych „badaniach” pacjentom zaleca się podawanie sody oczyszczonej albo hydrokolonoterapię. </w:t>
      </w:r>
      <w:r w:rsidR="00851DB1">
        <w:rPr>
          <w:bCs/>
        </w:rPr>
        <w:t>Temat jest tym bardziej aktualny, że coraz więcej ogłoszeń tego rodzaju pojawia się w internecie, a także jest coraz większe zainteresowanie takimi usługami.</w:t>
      </w:r>
    </w:p>
    <w:p w14:paraId="62A65BE0" w14:textId="77777777" w:rsidR="00633529" w:rsidRDefault="00633529" w:rsidP="00EB0633">
      <w:pPr>
        <w:jc w:val="both"/>
        <w:rPr>
          <w:bCs/>
        </w:rPr>
      </w:pPr>
    </w:p>
    <w:p w14:paraId="231F7CFD" w14:textId="77777777" w:rsidR="003D4845" w:rsidRDefault="003D4845" w:rsidP="00EB0633">
      <w:pPr>
        <w:jc w:val="both"/>
        <w:rPr>
          <w:bCs/>
        </w:rPr>
      </w:pPr>
      <w:r>
        <w:rPr>
          <w:bCs/>
        </w:rPr>
        <w:t xml:space="preserve">Następnie NROZ lek. Grzegorz Wrona przeszedł do omówienia kasacji składanych od orzeczeń Naczelnego Sądu Lekarskiego. NROZ zachęcił wszystkich zastępców do uczestnictwa w rozprawach przed Sądem Najwyższym oraz podziękował Rzecznikom, którzy przyjechali do Warszawy specjalnie na rozprawy kasacyjne. </w:t>
      </w:r>
      <w:r w:rsidR="00EB6957">
        <w:rPr>
          <w:bCs/>
        </w:rPr>
        <w:t xml:space="preserve">NROZ przedstawił krótko czego dotyczyły sprawy, którymi zajął się Sąd Najwyższy na początku roku 2018, a następnie </w:t>
      </w:r>
      <w:r>
        <w:rPr>
          <w:bCs/>
        </w:rPr>
        <w:t>Zastępca NROZ dr Teresa Korta, która uczestniczyła w 5 rozprawach kasacyjnych w styczniu 2018r. podzieliła się swoimi spostrzeżeniami i uwagami:</w:t>
      </w:r>
    </w:p>
    <w:p w14:paraId="0A0ABCDF" w14:textId="77777777" w:rsidR="00EB6957" w:rsidRDefault="00EB6957" w:rsidP="00EB0633">
      <w:pPr>
        <w:jc w:val="both"/>
        <w:rPr>
          <w:bCs/>
        </w:rPr>
      </w:pPr>
    </w:p>
    <w:p w14:paraId="58FC6B03" w14:textId="77777777" w:rsidR="003D4845" w:rsidRPr="00851DB1" w:rsidRDefault="003D4845" w:rsidP="00851DB1">
      <w:pPr>
        <w:pStyle w:val="Akapitzlist"/>
        <w:numPr>
          <w:ilvl w:val="0"/>
          <w:numId w:val="1"/>
        </w:numPr>
        <w:jc w:val="both"/>
        <w:rPr>
          <w:bCs/>
        </w:rPr>
      </w:pPr>
      <w:r w:rsidRPr="00851DB1">
        <w:rPr>
          <w:bCs/>
        </w:rPr>
        <w:t>5 kasacji</w:t>
      </w:r>
      <w:r w:rsidR="00EB6957" w:rsidRPr="00851DB1">
        <w:rPr>
          <w:bCs/>
        </w:rPr>
        <w:t>, zgodnie z wnioskiem NROZ,</w:t>
      </w:r>
      <w:r w:rsidRPr="00851DB1">
        <w:rPr>
          <w:bCs/>
        </w:rPr>
        <w:t xml:space="preserve"> zostało oddalonych jako oczywiście bezzasadne,</w:t>
      </w:r>
    </w:p>
    <w:p w14:paraId="66A22E2D" w14:textId="5F011517" w:rsidR="003D4845" w:rsidRPr="00851DB1" w:rsidRDefault="003D4845" w:rsidP="00851DB1">
      <w:pPr>
        <w:pStyle w:val="Akapitzlist"/>
        <w:numPr>
          <w:ilvl w:val="0"/>
          <w:numId w:val="1"/>
        </w:numPr>
        <w:jc w:val="both"/>
        <w:rPr>
          <w:bCs/>
        </w:rPr>
      </w:pPr>
      <w:r w:rsidRPr="00851DB1">
        <w:rPr>
          <w:bCs/>
        </w:rPr>
        <w:t>Sąd Najwyższy zwraca uwagę, że jest Sądem prawa, a nie Sądem faktów, innymi słowy przed SN nie wolno kwestionować dokonanych przez sądy lekarskie ustaleń faktycznych</w:t>
      </w:r>
      <w:r w:rsidR="00851DB1">
        <w:rPr>
          <w:bCs/>
        </w:rPr>
        <w:t>,</w:t>
      </w:r>
    </w:p>
    <w:p w14:paraId="76D25740" w14:textId="4792F68F" w:rsidR="003D4845" w:rsidRPr="00851DB1" w:rsidRDefault="003D4845" w:rsidP="00851DB1">
      <w:pPr>
        <w:pStyle w:val="Akapitzlist"/>
        <w:numPr>
          <w:ilvl w:val="0"/>
          <w:numId w:val="1"/>
        </w:numPr>
        <w:jc w:val="both"/>
        <w:rPr>
          <w:bCs/>
        </w:rPr>
      </w:pPr>
      <w:r w:rsidRPr="00851DB1">
        <w:rPr>
          <w:bCs/>
        </w:rPr>
        <w:t>Sąd Najwyższy w przypadku pewnych drobnych uchybień proceduralnych, które się pojawiają</w:t>
      </w:r>
      <w:r w:rsidR="00851DB1" w:rsidRPr="00851DB1">
        <w:rPr>
          <w:bCs/>
        </w:rPr>
        <w:t>, podkreśla, że w są</w:t>
      </w:r>
      <w:r w:rsidRPr="00851DB1">
        <w:rPr>
          <w:bCs/>
        </w:rPr>
        <w:t xml:space="preserve">dach lekarskich nie zasiadają profesjonalni sędziowie, dlatego inną miarę trzeba przykładać do oceny </w:t>
      </w:r>
      <w:r w:rsidR="00EB6957" w:rsidRPr="00851DB1">
        <w:rPr>
          <w:bCs/>
        </w:rPr>
        <w:t>tych orzeczeń</w:t>
      </w:r>
      <w:r w:rsidR="00851DB1">
        <w:rPr>
          <w:bCs/>
        </w:rPr>
        <w:t>.</w:t>
      </w:r>
    </w:p>
    <w:p w14:paraId="7E6A2975" w14:textId="77777777" w:rsidR="005F5C6E" w:rsidRPr="00EB6957" w:rsidRDefault="005F5C6E" w:rsidP="00EB6957">
      <w:pPr>
        <w:pStyle w:val="Akapitzlist"/>
        <w:jc w:val="both"/>
        <w:rPr>
          <w:bCs/>
        </w:rPr>
      </w:pPr>
    </w:p>
    <w:p w14:paraId="49C56D68" w14:textId="77777777" w:rsidR="00EB0633" w:rsidRPr="00EB0633" w:rsidRDefault="00EB6957" w:rsidP="005F5C6E">
      <w:pPr>
        <w:jc w:val="both"/>
      </w:pPr>
      <w:r>
        <w:t xml:space="preserve">Na koniec, NROZ zapowiedział termin kolejnego szkolenia dla Zastępców NROZ, zaplanowanego na dzień 13 kwietnia 2018r. i podziękował wszystkim za przybycie oraz owocną dyskusję. </w:t>
      </w:r>
    </w:p>
    <w:p w14:paraId="36030B05" w14:textId="77777777" w:rsidR="00EB0633" w:rsidRPr="00EB0633" w:rsidRDefault="00EB0633" w:rsidP="005F5C6E">
      <w:pPr>
        <w:jc w:val="both"/>
      </w:pPr>
    </w:p>
    <w:p w14:paraId="2DCA894C" w14:textId="77777777" w:rsidR="005F5C6E" w:rsidRPr="00EB0633" w:rsidRDefault="005F5C6E" w:rsidP="005F5C6E">
      <w:pPr>
        <w:jc w:val="both"/>
      </w:pPr>
    </w:p>
    <w:p w14:paraId="4E01F137" w14:textId="77777777" w:rsidR="005F5C6E" w:rsidRPr="00EB0633" w:rsidRDefault="005F5C6E" w:rsidP="005F5C6E">
      <w:pPr>
        <w:jc w:val="both"/>
      </w:pPr>
    </w:p>
    <w:p w14:paraId="3B8FA532" w14:textId="77777777" w:rsidR="005F5C6E" w:rsidRPr="00EB0633" w:rsidRDefault="005F5C6E" w:rsidP="00433C37">
      <w:pPr>
        <w:jc w:val="both"/>
      </w:pPr>
    </w:p>
    <w:p w14:paraId="10C13D51" w14:textId="77777777" w:rsidR="00433C37" w:rsidRPr="00EB0633" w:rsidRDefault="00433C37" w:rsidP="00433C37">
      <w:pPr>
        <w:jc w:val="both"/>
      </w:pPr>
    </w:p>
    <w:sectPr w:rsidR="00433C37" w:rsidRPr="00EB0633" w:rsidSect="00FC680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8B371" w14:textId="77777777" w:rsidR="005166D9" w:rsidRDefault="005166D9" w:rsidP="004612E3">
      <w:r>
        <w:separator/>
      </w:r>
    </w:p>
  </w:endnote>
  <w:endnote w:type="continuationSeparator" w:id="0">
    <w:p w14:paraId="3D4A292E" w14:textId="77777777" w:rsidR="005166D9" w:rsidRDefault="005166D9" w:rsidP="0046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81C46" w14:textId="77777777" w:rsidR="004612E3" w:rsidRDefault="004612E3" w:rsidP="004612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840A9E" w14:textId="77777777" w:rsidR="004612E3" w:rsidRDefault="004612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55EA9" w14:textId="77777777" w:rsidR="004612E3" w:rsidRDefault="004612E3" w:rsidP="004612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7E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AC67C2" w14:textId="77777777" w:rsidR="004612E3" w:rsidRDefault="00461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B3D1" w14:textId="77777777" w:rsidR="005166D9" w:rsidRDefault="005166D9" w:rsidP="004612E3">
      <w:r>
        <w:separator/>
      </w:r>
    </w:p>
  </w:footnote>
  <w:footnote w:type="continuationSeparator" w:id="0">
    <w:p w14:paraId="26008BAC" w14:textId="77777777" w:rsidR="005166D9" w:rsidRDefault="005166D9" w:rsidP="0046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50DC"/>
    <w:multiLevelType w:val="hybridMultilevel"/>
    <w:tmpl w:val="4D761E88"/>
    <w:lvl w:ilvl="0" w:tplc="728E32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37"/>
    <w:rsid w:val="00146B45"/>
    <w:rsid w:val="00162C1A"/>
    <w:rsid w:val="00356926"/>
    <w:rsid w:val="003D4845"/>
    <w:rsid w:val="004043F9"/>
    <w:rsid w:val="00433C37"/>
    <w:rsid w:val="004612E3"/>
    <w:rsid w:val="005166D9"/>
    <w:rsid w:val="005F5C6E"/>
    <w:rsid w:val="00633529"/>
    <w:rsid w:val="007D7C48"/>
    <w:rsid w:val="00851DB1"/>
    <w:rsid w:val="00C9251E"/>
    <w:rsid w:val="00EB0633"/>
    <w:rsid w:val="00EB6957"/>
    <w:rsid w:val="00F47EEF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31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1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12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C1A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62C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84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6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12E3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12E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2E3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61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1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12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C1A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62C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84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6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12E3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12E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2E3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6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8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37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Tomaszewska</dc:creator>
  <cp:lastModifiedBy>Ewa Nowosielska</cp:lastModifiedBy>
  <cp:revision>2</cp:revision>
  <cp:lastPrinted>2018-02-02T09:02:00Z</cp:lastPrinted>
  <dcterms:created xsi:type="dcterms:W3CDTF">2018-02-02T10:17:00Z</dcterms:created>
  <dcterms:modified xsi:type="dcterms:W3CDTF">2018-02-02T10:17:00Z</dcterms:modified>
</cp:coreProperties>
</file>