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25" w:rsidRDefault="00CD1B25" w:rsidP="00CD1B25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Konferencja Prezesów Towarzystw Lekarskich</w:t>
      </w:r>
    </w:p>
    <w:p w:rsidR="00CD1B25" w:rsidRDefault="00A1169F" w:rsidP="00CD1B25">
      <w:pPr>
        <w:spacing w:after="0"/>
        <w:jc w:val="center"/>
      </w:pPr>
      <w:r>
        <w:pict>
          <v:rect id="_x0000_i1025" style="width:453.6pt;height:3pt" o:hralign="center" o:hrstd="t" o:hr="t" fillcolor="#a0a0a0" stroked="f"/>
        </w:pict>
      </w:r>
    </w:p>
    <w:p w:rsidR="00CD1B25" w:rsidRDefault="00CD1B25" w:rsidP="00CD1B25">
      <w:pPr>
        <w:pBdr>
          <w:bottom w:val="single" w:sz="4" w:space="1" w:color="auto"/>
        </w:pBd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korespondencja: Naczelna Izba Lekarska, ul. Sobieskiego 110, 00-764 Warszawa, </w:t>
      </w:r>
      <w:r>
        <w:rPr>
          <w:i/>
          <w:sz w:val="18"/>
          <w:szCs w:val="18"/>
        </w:rPr>
        <w:br/>
        <w:t xml:space="preserve">tel. +48225591324, fax +48225591323, e-mail: kpptl@hipokrates.org  </w:t>
      </w:r>
    </w:p>
    <w:p w:rsidR="00CD1B25" w:rsidRDefault="00CD1B25" w:rsidP="00CD1B25">
      <w:pPr>
        <w:jc w:val="right"/>
      </w:pPr>
      <w:r>
        <w:t>Warszawa, dnia 2011-12-19</w:t>
      </w:r>
    </w:p>
    <w:p w:rsidR="00CD1B25" w:rsidRDefault="00CD1B25" w:rsidP="00CD1B25"/>
    <w:p w:rsidR="00CD1B25" w:rsidRDefault="00CD1B25" w:rsidP="00CD1B25">
      <w:pPr>
        <w:jc w:val="center"/>
        <w:rPr>
          <w:b/>
        </w:rPr>
      </w:pPr>
      <w:r>
        <w:rPr>
          <w:b/>
        </w:rPr>
        <w:t>Posiedzenie Konferencji Prezesów Towarzystw Lekarskich w dniu 2011-12-12</w:t>
      </w:r>
    </w:p>
    <w:p w:rsidR="00CD1B25" w:rsidRDefault="00CD1B25" w:rsidP="00CD1B25">
      <w:pPr>
        <w:jc w:val="center"/>
      </w:pPr>
      <w:r>
        <w:rPr>
          <w:b/>
        </w:rPr>
        <w:t>Podsumowanie dyskusji i wniosków</w:t>
      </w:r>
    </w:p>
    <w:p w:rsidR="00CD1B25" w:rsidRDefault="00CD1B25" w:rsidP="00CD1B25"/>
    <w:p w:rsidR="00CD1B25" w:rsidRDefault="00CD1B25" w:rsidP="00CD1B25">
      <w:r>
        <w:t>W posiedzeniu wzięli udział przedstawiciele (Prezesi i upoważnione osoby) 31 spośród 62 Towarzystw, które przystąpiły do Konferencji.</w:t>
      </w:r>
    </w:p>
    <w:p w:rsidR="00CD1B25" w:rsidRDefault="00CD1B25" w:rsidP="00CD1B25">
      <w:r>
        <w:t xml:space="preserve">1. Wśród spraw organizacyjnych Konferencji przedstawiono wyniki głosowań korespondencyjnych przeprowadzonych po poprzednim posiedzeniu. Zdecydowaną większością głosów przyjęte zostały stanowiska w sprawie kształcenia w zakresie umiejętności oraz w sprawie roli </w:t>
      </w:r>
      <w:r w:rsidRPr="006E4883">
        <w:t>specjalistów rehabilitacji medycznej oraz interdyscyplinarnej współpracy w dziedzinie rehabilitacji medycznej</w:t>
      </w:r>
      <w:r>
        <w:t xml:space="preserve">. Stanowiska Konferencji powinny być wykorzystywane przez Towarzystwa w pracach nad przepisami i rozwiązaniami organizacyjnymi. Ciągle aktualna jest prośba o zgłaszanie tematów i propozycji stanowisk na kolejne posiedzenia. KPTL do tej pory zajmowała się głównie problemami kształcenia, ale Towarzystwa są zainteresowane  wszystkimi problemami ochrony zdrowia i powinny wypowiadać się w tych sprawach. </w:t>
      </w:r>
    </w:p>
    <w:p w:rsidR="00CD1B25" w:rsidRDefault="00CD1B25" w:rsidP="00CD1B25">
      <w:r>
        <w:t>2. W części obrad dotyczącej kształcenia prof. Jerzy Kruszewski, Przewodniczący Komisji Kształcenia NRL oraz przedstawiciel Departamentu Nauki Ministerstwa Zdrowia</w:t>
      </w:r>
      <w:r w:rsidR="00346DA4">
        <w:t>, Pani Magdalena Adamowska,</w:t>
      </w:r>
      <w:r>
        <w:t xml:space="preserve"> przedstawili informacje na temat toczących się prac legislacyjnych w zakresie kształcenia. W różnych fazach prac znajduje się obecnie 9 projektów aktów prawnych. W dyskusji podniesiono, że pomimo jasnego stanowiska KPTL ciągle czynione są próby wpisywania na listę umiejętności dziedzin, które nie odpowiadają określonym w stanowisku kryteriom. Podkreślano też niebezpieczeństwa wynikające z wykorzystywania umiejętności do ograniczania dostępu do świadczeń. Ponieważ przepisy dotyczące umiejętności nie zostały uchwalone przez Sejm w poprzedniej kadencji, prace legislacyjne, w tym także konsultacje</w:t>
      </w:r>
      <w:r w:rsidR="00346DA4">
        <w:t xml:space="preserve"> społeczne</w:t>
      </w:r>
      <w:r>
        <w:t xml:space="preserve">, zostaną powtórzone i możliwe będzie ponowne zgłaszanie uwag. Bardzo ważne są trwające prace nad rozporządzeniem w sprawie specjalizacji obejmującym zasady modułowego systemu kształcenia specjalizacyjnego. Przyjęto zasadę „2+3”, czyli 2 lata modułu podstawowego i 3 lata modułu specjalistycznego. Poruszono także problemy związane z praktycznym szkoleniem podczas studiów. Projekt rozporządzenia w tej sprawie jest w trakcie konsultacji. Wskazano, że jasnego uregulowania wymaga status prawny studentów wykonujących zabiegi. Problemem będzie ubezpieczenie od odpowiedzialności cywilnej, gdyż nowe zasady mogą spowodować bardzo duży wzrost kosztów polisy, co w połączeniu z wymaganiami ubezpieczeniowymi wprowadzonymi nowelizacją ustawy o prawach pacjenta może stanowić bardzo duże obciążenie dla szpitali, które i tak znajdują się w trudnej sytuacji finansowej. Podczas dyskusji </w:t>
      </w:r>
      <w:r>
        <w:lastRenderedPageBreak/>
        <w:t xml:space="preserve">pojawiło się kilka pytań skierowanych do Przedstawiciela Departamentu Nauki. Po uzyskaniu odpowiedzi </w:t>
      </w:r>
      <w:r w:rsidR="00346DA4">
        <w:t xml:space="preserve">MZ </w:t>
      </w:r>
      <w:r>
        <w:t>zostaną one przekazane Towarzystwom.</w:t>
      </w:r>
    </w:p>
    <w:p w:rsidR="00CD1B25" w:rsidRDefault="00CD1B25" w:rsidP="00CD1B25">
      <w:r>
        <w:t>3. Dr A</w:t>
      </w:r>
      <w:r w:rsidR="00346DA4">
        <w:t>rtur</w:t>
      </w:r>
      <w:r>
        <w:t xml:space="preserve"> Antoniewicz, przewodniczący Komisji Egzaminacyjnej  </w:t>
      </w:r>
      <w:proofErr w:type="spellStart"/>
      <w:r>
        <w:t>European</w:t>
      </w:r>
      <w:proofErr w:type="spellEnd"/>
      <w:r>
        <w:t xml:space="preserve"> Board of </w:t>
      </w:r>
      <w:proofErr w:type="spellStart"/>
      <w:r>
        <w:t>Urology</w:t>
      </w:r>
      <w:proofErr w:type="spellEnd"/>
      <w:r>
        <w:t xml:space="preserve">, przedstawił organizację oraz zasady przeprowadzania egzaminu specjalizacyjnego z urologii, który w Polsce od ponad 10 lat jest egzaminem europejskim, opracowanym przez UEMS EBU. Polscy urolodzy stanowią najliczniejszą grupę wśród lekarzy posiadających tytuł </w:t>
      </w:r>
      <w:proofErr w:type="spellStart"/>
      <w:r>
        <w:t>Fellow</w:t>
      </w:r>
      <w:proofErr w:type="spellEnd"/>
      <w:r>
        <w:t xml:space="preserve"> of EBU, a osiągane przez nich wyniki egzaminów są bardzo dobre. Doświadczenie PTU, podobnie jak </w:t>
      </w:r>
      <w:r w:rsidR="00346DA4">
        <w:t xml:space="preserve">przedstawiane wcześniej na posiedzeniu KPTL doświadczenie </w:t>
      </w:r>
      <w:proofErr w:type="spellStart"/>
      <w:r>
        <w:t>PTAiIT</w:t>
      </w:r>
      <w:proofErr w:type="spellEnd"/>
      <w:r>
        <w:t>, jest bardzo pozytywne. Doprecyzowania wymagają przepisy regulujące zasady uznawania egzaminu europejskiego za</w:t>
      </w:r>
      <w:r w:rsidR="00346DA4">
        <w:t xml:space="preserve"> równoważny z</w:t>
      </w:r>
      <w:r>
        <w:t xml:space="preserve"> PES. PTU służy zainteresowanym Towarzystwom informacją, jak można zorganizować taki egzamin. </w:t>
      </w:r>
    </w:p>
    <w:p w:rsidR="00CD1B25" w:rsidRDefault="00CD1B25" w:rsidP="00CD1B25">
      <w:r>
        <w:t xml:space="preserve">4. Programy zdrowotne Jednostek Samorządu Terytorialnego są oceniane przez Agencję Oceny Technologii Medycznych i często nie mogą być zaopiniowane pozytywnie z powodu niewłaściwych założeń. Przewodniczący Rady Konsultacyjnej AOTM, Prof. T. </w:t>
      </w:r>
      <w:proofErr w:type="spellStart"/>
      <w:r>
        <w:t>Pasierski</w:t>
      </w:r>
      <w:proofErr w:type="spellEnd"/>
      <w:r>
        <w:t xml:space="preserve"> skierował do Towarzystw pytanie, czy możliwe byłoby udzielenie JST pomocy w formułowaniu poprawnych merytorycznie programów zdrowotnych. Jeżeli byliby Państwo zainteresowani i mogli udzielić takiej pomocy, uprzejmie proszę o nadesłanie informacji. </w:t>
      </w:r>
    </w:p>
    <w:p w:rsidR="00CD1B25" w:rsidRDefault="00CD1B25" w:rsidP="00CD1B25">
      <w:r>
        <w:t xml:space="preserve">5. Profesor Jerzy Kruszewski przedstawił informację o znaczeniu konfliktu interesów w edukacji i o działaniach podejmowanych przez Komisję Kształcenia NRL w celu upowszechnienia deklaracji konfliktu interesów w działaniach edukacyjnych. Konflikt interesów jest powszechny i sam fakt istnienia konfliktu nie może być oceniany negatywnie. Natomiast wpływ konfliktu interesów na przekazywane treści edukacyjne może być oceniany tylko przez odbiorców. Dlatego odbiorcy powinni wiedzieć o wszystkich sytuacjach powodujących u wykładowców konflikt interesów (także, jeżeli zdaniem wykładowcy </w:t>
      </w:r>
      <w:r w:rsidR="001B1042">
        <w:t>relacje z przemysłem i z innymi podmiotami</w:t>
      </w:r>
      <w:r>
        <w:t xml:space="preserve"> nie ma</w:t>
      </w:r>
      <w:r w:rsidR="001B1042">
        <w:t>ją</w:t>
      </w:r>
      <w:r>
        <w:t xml:space="preserve"> wpływu na treści edukacyjne). Podobnie do publikacji, deklaracja konfliktu interesów powinna być wymagana od wykładowców na zjazdach, konferencjach, kursach. W wielu sytuacjach, na przykład przy akredytacji </w:t>
      </w:r>
      <w:r w:rsidR="001B1042">
        <w:t xml:space="preserve">kształcenia przez </w:t>
      </w:r>
      <w:r>
        <w:t xml:space="preserve">UEMS-EACCME, przedstawienie deklaracji jest już wymagane.  Towarzystwa naukowe prowadzą bardzo rozległą działalność edukacyjną i powinny stosować w niej wymagania dotyczące deklaracji konfliktu interesów. Jeżeli uważają Państwo, że potrzebne byłoby zajęcie przez KPTL oficjalnego stanowiska w tej sprawie, bardzo proszę o wiadomość. </w:t>
      </w:r>
    </w:p>
    <w:p w:rsidR="00CD1B25" w:rsidRDefault="00CD1B25" w:rsidP="00CD1B25">
      <w:r>
        <w:t>Przy okazji chcę zawiadomić, że 03.02.2012 odbędzie się w Naczelnej Izbie Lekarskiej konferencja poświęcona konfliktowi interesów w edukacji medycznej, na którą już teraz zapraszam.</w:t>
      </w:r>
      <w:r w:rsidR="00A1169F">
        <w:t xml:space="preserve"> O szczegółowym programie tej konferencji zawiadomię oddzielnie.</w:t>
      </w:r>
      <w:r>
        <w:t xml:space="preserve"> </w:t>
      </w:r>
    </w:p>
    <w:p w:rsidR="00D50311" w:rsidRDefault="00CD1B25" w:rsidP="00CD1B25">
      <w:r>
        <w:t xml:space="preserve">6. Dr Basia </w:t>
      </w:r>
      <w:proofErr w:type="spellStart"/>
      <w:r>
        <w:t>Kutryba</w:t>
      </w:r>
      <w:proofErr w:type="spellEnd"/>
      <w:r>
        <w:t xml:space="preserve">, reprezentująca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for </w:t>
      </w:r>
      <w:proofErr w:type="spellStart"/>
      <w:r>
        <w:t>Quality</w:t>
      </w:r>
      <w:proofErr w:type="spellEnd"/>
      <w:r>
        <w:t xml:space="preserve"> in Healthcare oraz Centrum Monitorowania Jakości w Ochronie Zdrowia przedstawiła zagadnienia związane z bezpieczeństwem leczenia. Statystyki z wielu krajów wskazują, że w trakcie leczenia niepożądanych zdarzeń doświadcza około 10% pacjentów. Powoduje to wiele niekorzystnych efektów zdrowotnych i dodatkowe koszty. Jednocześnie w ochronie zdrowia ciągle jesteśmy daleko od wypracowania standardów bezpieczeństwa funkcjonujących już w innych dziedzinach. Dlatego niezbędne jest propagowanie kultury bezpieczeństwa polegającej na wielokierunkowych działaniach wszystkich uczestników procesu leczenia. W Polsce działania te ciągle są w początkowej fazie</w:t>
      </w:r>
      <w:r w:rsidR="00A1169F">
        <w:t xml:space="preserve"> i </w:t>
      </w:r>
      <w:r>
        <w:t>bardzo potrzebne jest budowanie świadomości problemu</w:t>
      </w:r>
      <w:r w:rsidR="00A1169F">
        <w:t>.</w:t>
      </w:r>
      <w:r>
        <w:t xml:space="preserve"> Towarzystwa mogą włączyć się do działań na rzecz </w:t>
      </w:r>
      <w:r>
        <w:lastRenderedPageBreak/>
        <w:t>bezpieczeństwa poprzez uwzględnianie tych zagadnień w programach z</w:t>
      </w:r>
      <w:r w:rsidR="00A1169F">
        <w:t xml:space="preserve">jazdów i konferencji, a ESQH i CMJ mogą pomóc w organizacji sesji poświęconych zagadnieniom bezpieczeństwa i jakości leczenia. </w:t>
      </w:r>
      <w:bookmarkStart w:id="0" w:name="_GoBack"/>
      <w:bookmarkEnd w:id="0"/>
    </w:p>
    <w:p w:rsidR="00CD1B25" w:rsidRDefault="00CD1B25" w:rsidP="00CD1B25"/>
    <w:p w:rsidR="00CD1B25" w:rsidRDefault="00CD1B25" w:rsidP="00CD1B25">
      <w:r>
        <w:t>Koordynator KPTL</w:t>
      </w:r>
    </w:p>
    <w:p w:rsidR="00CD1B25" w:rsidRDefault="00CD1B25" w:rsidP="00CD1B25"/>
    <w:p w:rsidR="00CD1B25" w:rsidRDefault="00CD1B25" w:rsidP="00CD1B25">
      <w:r>
        <w:t xml:space="preserve">Romuald Krajewski </w:t>
      </w:r>
    </w:p>
    <w:sectPr w:rsidR="00CD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25"/>
    <w:rsid w:val="001B1042"/>
    <w:rsid w:val="003272B0"/>
    <w:rsid w:val="00346DA4"/>
    <w:rsid w:val="00A1169F"/>
    <w:rsid w:val="00AD5EB5"/>
    <w:rsid w:val="00CD1B25"/>
    <w:rsid w:val="00D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969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4</cp:revision>
  <dcterms:created xsi:type="dcterms:W3CDTF">2011-12-19T08:05:00Z</dcterms:created>
  <dcterms:modified xsi:type="dcterms:W3CDTF">2011-12-19T12:26:00Z</dcterms:modified>
</cp:coreProperties>
</file>