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2C7D0" w14:textId="77777777" w:rsidR="00E20BE6" w:rsidRDefault="00730988">
      <w:pPr>
        <w:pStyle w:val="Nagwek10"/>
        <w:keepNext/>
        <w:keepLines/>
        <w:shd w:val="clear" w:color="auto" w:fill="auto"/>
      </w:pPr>
      <w:bookmarkStart w:id="0" w:name="bookmark0"/>
      <w:bookmarkStart w:id="1" w:name="bookmark1"/>
      <w:r>
        <w:t>ODPIS</w:t>
      </w:r>
      <w:bookmarkEnd w:id="0"/>
      <w:bookmarkEnd w:id="1"/>
    </w:p>
    <w:p w14:paraId="3AC2C7D1" w14:textId="77777777" w:rsidR="00E20BE6" w:rsidRDefault="00730988">
      <w:pPr>
        <w:jc w:val="center"/>
        <w:rPr>
          <w:sz w:val="2"/>
          <w:szCs w:val="2"/>
        </w:rPr>
      </w:pPr>
      <w:r>
        <w:rPr>
          <w:noProof/>
        </w:rPr>
        <w:drawing>
          <wp:inline distT="0" distB="0" distL="0" distR="0" wp14:anchorId="3AC2C813" wp14:editId="3AC2C814">
            <wp:extent cx="755650" cy="79248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755650" cy="792480"/>
                    </a:xfrm>
                    <a:prstGeom prst="rect">
                      <a:avLst/>
                    </a:prstGeom>
                  </pic:spPr>
                </pic:pic>
              </a:graphicData>
            </a:graphic>
          </wp:inline>
        </w:drawing>
      </w:r>
    </w:p>
    <w:p w14:paraId="3AC2C7D2" w14:textId="77777777" w:rsidR="00E20BE6" w:rsidRDefault="00E20BE6">
      <w:pPr>
        <w:spacing w:after="599" w:line="1" w:lineRule="exact"/>
      </w:pPr>
    </w:p>
    <w:p w14:paraId="3AC2C7D3" w14:textId="77777777" w:rsidR="00E20BE6" w:rsidRDefault="00730988">
      <w:pPr>
        <w:pStyle w:val="Nagwek20"/>
        <w:keepNext/>
        <w:keepLines/>
        <w:shd w:val="clear" w:color="auto" w:fill="auto"/>
      </w:pPr>
      <w:bookmarkStart w:id="2" w:name="bookmark2"/>
      <w:bookmarkStart w:id="3" w:name="bookmark3"/>
      <w:r>
        <w:t>WYROK</w:t>
      </w:r>
      <w:bookmarkEnd w:id="2"/>
      <w:bookmarkEnd w:id="3"/>
    </w:p>
    <w:p w14:paraId="3AC2C7D4" w14:textId="77777777" w:rsidR="00E20BE6" w:rsidRDefault="00730988">
      <w:pPr>
        <w:pStyle w:val="Nagwek30"/>
        <w:keepNext/>
        <w:keepLines/>
        <w:shd w:val="clear" w:color="auto" w:fill="auto"/>
        <w:spacing w:after="260"/>
      </w:pPr>
      <w:bookmarkStart w:id="4" w:name="bookmark4"/>
      <w:bookmarkStart w:id="5" w:name="bookmark5"/>
      <w:r>
        <w:t>W IMIENIU RZECZYPOSPOLITEJ POLSKIEJ</w:t>
      </w:r>
      <w:bookmarkEnd w:id="4"/>
      <w:bookmarkEnd w:id="5"/>
    </w:p>
    <w:p w14:paraId="3AC2C7D5" w14:textId="77777777" w:rsidR="00E20BE6" w:rsidRDefault="00730988">
      <w:pPr>
        <w:pStyle w:val="Teksttreci0"/>
        <w:shd w:val="clear" w:color="auto" w:fill="auto"/>
        <w:spacing w:after="60" w:line="240" w:lineRule="auto"/>
        <w:ind w:firstLine="0"/>
        <w:jc w:val="right"/>
      </w:pPr>
      <w:r>
        <w:t>Dnia 18 września 2025 r.</w:t>
      </w:r>
    </w:p>
    <w:p w14:paraId="3AC2C7D6" w14:textId="77777777" w:rsidR="00E20BE6" w:rsidRDefault="00730988">
      <w:pPr>
        <w:pStyle w:val="Teksttreci0"/>
        <w:shd w:val="clear" w:color="auto" w:fill="auto"/>
        <w:spacing w:after="600" w:line="240" w:lineRule="auto"/>
        <w:ind w:firstLine="0"/>
      </w:pPr>
      <w:r>
        <w:t>Sąd Najwyższy w składzie:</w:t>
      </w:r>
    </w:p>
    <w:p w14:paraId="3AC2C7D7" w14:textId="77777777" w:rsidR="00E20BE6" w:rsidRDefault="00730988">
      <w:pPr>
        <w:pStyle w:val="Teksttreci0"/>
        <w:shd w:val="clear" w:color="auto" w:fill="auto"/>
        <w:spacing w:line="396" w:lineRule="auto"/>
        <w:ind w:left="2040" w:firstLine="0"/>
      </w:pPr>
      <w:r>
        <w:t>SSN Marek Siwek (przewodniczący, sprawozdawca)</w:t>
      </w:r>
    </w:p>
    <w:p w14:paraId="3AC2C7D8" w14:textId="77777777" w:rsidR="00E20BE6" w:rsidRDefault="00730988">
      <w:pPr>
        <w:pStyle w:val="Teksttreci0"/>
        <w:shd w:val="clear" w:color="auto" w:fill="auto"/>
        <w:spacing w:line="396" w:lineRule="auto"/>
        <w:ind w:left="2040" w:firstLine="0"/>
      </w:pPr>
      <w:r>
        <w:t>SSN Marek Dobrowolski</w:t>
      </w:r>
    </w:p>
    <w:p w14:paraId="3AC2C7D9" w14:textId="77777777" w:rsidR="00E20BE6" w:rsidRDefault="00730988">
      <w:pPr>
        <w:pStyle w:val="Teksttreci0"/>
        <w:shd w:val="clear" w:color="auto" w:fill="auto"/>
        <w:spacing w:after="260" w:line="396" w:lineRule="auto"/>
        <w:ind w:left="2040" w:firstLine="0"/>
      </w:pPr>
      <w:r>
        <w:t>SSN Marek Motuk</w:t>
      </w:r>
    </w:p>
    <w:p w14:paraId="3AC2C7DA" w14:textId="4359CCCD" w:rsidR="00E20BE6" w:rsidRDefault="00730988">
      <w:pPr>
        <w:pStyle w:val="Teksttreci0"/>
        <w:shd w:val="clear" w:color="auto" w:fill="auto"/>
        <w:spacing w:after="120" w:line="396" w:lineRule="auto"/>
        <w:ind w:left="2600" w:firstLine="0"/>
      </w:pPr>
      <w:r>
        <w:t>Protokolant starszy inspektor sądowy MB</w:t>
      </w:r>
    </w:p>
    <w:p w14:paraId="3AC2C7DB" w14:textId="6EB60F2D" w:rsidR="00E20BE6" w:rsidRDefault="00730988">
      <w:pPr>
        <w:pStyle w:val="Teksttreci0"/>
        <w:shd w:val="clear" w:color="auto" w:fill="auto"/>
        <w:spacing w:line="396" w:lineRule="auto"/>
        <w:ind w:firstLine="0"/>
      </w:pPr>
      <w:r>
        <w:t xml:space="preserve">przy udziale </w:t>
      </w:r>
      <w:r w:rsidR="00611859">
        <w:t>ZK</w:t>
      </w:r>
      <w:r>
        <w:t>- Naczelnego Rzecznika Odpowiedzialności Zawodowej</w:t>
      </w:r>
    </w:p>
    <w:p w14:paraId="3AC2C7DC" w14:textId="2DA60A27" w:rsidR="00E20BE6" w:rsidRDefault="00730988">
      <w:pPr>
        <w:pStyle w:val="Teksttreci0"/>
        <w:shd w:val="clear" w:color="auto" w:fill="auto"/>
        <w:spacing w:line="396" w:lineRule="auto"/>
        <w:ind w:firstLine="0"/>
      </w:pPr>
      <w:r>
        <w:t xml:space="preserve">w sprawie lekarza </w:t>
      </w:r>
      <w:r w:rsidR="00611859">
        <w:t>DB</w:t>
      </w:r>
    </w:p>
    <w:p w14:paraId="3AC2C7DD" w14:textId="77777777" w:rsidR="00E20BE6" w:rsidRDefault="00730988">
      <w:pPr>
        <w:pStyle w:val="Teksttreci0"/>
        <w:shd w:val="clear" w:color="auto" w:fill="auto"/>
        <w:spacing w:line="396" w:lineRule="auto"/>
        <w:ind w:firstLine="0"/>
      </w:pPr>
      <w:r>
        <w:t>obwinionego o popełnienie przewinień zawodowych z art. 6, art. 8, art. 13 ust. 1,2 i 3 Kodeksu etyki lekarskiej w zw. z art. 53 ustawy z dnia 2 grudnia 2009 r. o izbach lekarskich (Dz. U. z 2021 r. poz. 1342, z póżn. zm.) oraz z art. 28 zdanie 3 Kodeksu etyki lekarskiej w zw. z § 4 rozporządzenia Ministra Zdrowia z dnia 9 listopada 2015 r. w sprawie rodzajów, zakresu i wzorów dokumentacji medycznej oraz sposobu jej przetwarzania (Dz. U. z 2015 r. poz. 2069) w zw. z art. 53 ustawy z dnia 2 grudnia 2009 r. o izbach lekarskich (Dz. U. z 2021 r. poz. 1342, z późn. zm.) po rozpoznaniu w Izbie Odpowiedzialności Zawodowej</w:t>
      </w:r>
    </w:p>
    <w:p w14:paraId="3AC2C7DE" w14:textId="77777777" w:rsidR="00E20BE6" w:rsidRDefault="00730988">
      <w:pPr>
        <w:pStyle w:val="Teksttreci0"/>
        <w:shd w:val="clear" w:color="auto" w:fill="auto"/>
        <w:spacing w:line="396" w:lineRule="auto"/>
        <w:ind w:firstLine="0"/>
      </w:pPr>
      <w:r>
        <w:t>na rozprawie w dniu 18 września 2025 r.</w:t>
      </w:r>
    </w:p>
    <w:p w14:paraId="3AC2C7DF" w14:textId="77777777" w:rsidR="00E20BE6" w:rsidRDefault="00730988">
      <w:pPr>
        <w:pStyle w:val="Teksttreci0"/>
        <w:shd w:val="clear" w:color="auto" w:fill="auto"/>
        <w:spacing w:line="396" w:lineRule="auto"/>
        <w:ind w:firstLine="0"/>
      </w:pPr>
      <w:r>
        <w:t>kasacji wniesionej przez pełnomocnika pokrzywdzonej</w:t>
      </w:r>
    </w:p>
    <w:p w14:paraId="3AC2C7E0" w14:textId="77777777" w:rsidR="00E20BE6" w:rsidRDefault="00730988">
      <w:pPr>
        <w:pStyle w:val="Teksttreci0"/>
        <w:shd w:val="clear" w:color="auto" w:fill="auto"/>
        <w:spacing w:line="396" w:lineRule="auto"/>
        <w:ind w:firstLine="0"/>
      </w:pPr>
      <w:r>
        <w:t>od orzeczenia Naczelnego Sądu Lekarskiego z dnia 22 maja 2024 r., sygn. akt NSL Rep. 58/OWU/24</w:t>
      </w:r>
    </w:p>
    <w:p w14:paraId="3AC2C7E1" w14:textId="3C24B3A2" w:rsidR="00E20BE6" w:rsidRDefault="00730988">
      <w:pPr>
        <w:pStyle w:val="Teksttreci0"/>
        <w:shd w:val="clear" w:color="auto" w:fill="auto"/>
        <w:spacing w:after="200" w:line="396" w:lineRule="auto"/>
        <w:ind w:firstLine="0"/>
      </w:pPr>
      <w:r>
        <w:t xml:space="preserve">zmieniającego orzeczenie Okręgowego Sądu Lekarskiego w </w:t>
      </w:r>
      <w:r w:rsidR="00611859">
        <w:t xml:space="preserve">(…) </w:t>
      </w:r>
      <w:r>
        <w:t>z dnia 16 stycznia 2024 r., sygn. akt Ko-103/2023</w:t>
      </w:r>
      <w:r>
        <w:br w:type="page"/>
      </w:r>
    </w:p>
    <w:p w14:paraId="3AC2C7E2" w14:textId="4F5E7910" w:rsidR="00E20BE6" w:rsidRDefault="00730988">
      <w:pPr>
        <w:pStyle w:val="Teksttreci0"/>
        <w:numPr>
          <w:ilvl w:val="0"/>
          <w:numId w:val="1"/>
        </w:numPr>
        <w:shd w:val="clear" w:color="auto" w:fill="auto"/>
        <w:tabs>
          <w:tab w:val="left" w:pos="2095"/>
        </w:tabs>
        <w:spacing w:line="396" w:lineRule="auto"/>
        <w:ind w:left="1420"/>
      </w:pPr>
      <w:r>
        <w:lastRenderedPageBreak/>
        <w:t xml:space="preserve">uchyla zaskarżone orzeczenie i postępowanie wobec lekarza </w:t>
      </w:r>
      <w:r w:rsidR="00611859">
        <w:t xml:space="preserve">DB </w:t>
      </w:r>
      <w:r>
        <w:t>w całości umarza;</w:t>
      </w:r>
    </w:p>
    <w:p w14:paraId="3AC2C7E3" w14:textId="77777777" w:rsidR="00E20BE6" w:rsidRDefault="00730988">
      <w:pPr>
        <w:pStyle w:val="Teksttreci0"/>
        <w:numPr>
          <w:ilvl w:val="0"/>
          <w:numId w:val="1"/>
        </w:numPr>
        <w:shd w:val="clear" w:color="auto" w:fill="auto"/>
        <w:tabs>
          <w:tab w:val="left" w:pos="2158"/>
        </w:tabs>
        <w:spacing w:line="396" w:lineRule="auto"/>
        <w:ind w:left="1800" w:firstLine="0"/>
      </w:pPr>
      <w:r>
        <w:t>kosztami postępowania kasacyjnego obciąża Skarb Państwa;</w:t>
      </w:r>
    </w:p>
    <w:p w14:paraId="3AC2C7E4" w14:textId="173F2FC3" w:rsidR="00E20BE6" w:rsidRDefault="00730988">
      <w:pPr>
        <w:pStyle w:val="Teksttreci0"/>
        <w:numPr>
          <w:ilvl w:val="0"/>
          <w:numId w:val="1"/>
        </w:numPr>
        <w:shd w:val="clear" w:color="auto" w:fill="auto"/>
        <w:tabs>
          <w:tab w:val="left" w:pos="2230"/>
        </w:tabs>
        <w:spacing w:after="260" w:line="396" w:lineRule="auto"/>
        <w:ind w:left="1420"/>
      </w:pPr>
      <w:r>
        <w:t xml:space="preserve">orzeka o zwrocie pokrzywdzonej </w:t>
      </w:r>
      <w:r w:rsidR="00611859">
        <w:t xml:space="preserve">M M-S </w:t>
      </w:r>
      <w:r>
        <w:t>750 (siedemset pięćdziesięciu) złotych uiszczonej opłaty od kasacji.</w:t>
      </w:r>
    </w:p>
    <w:p w14:paraId="3AC2C7E5" w14:textId="77777777" w:rsidR="00E20BE6" w:rsidRDefault="00730988">
      <w:pPr>
        <w:pStyle w:val="Teksttreci0"/>
        <w:shd w:val="clear" w:color="auto" w:fill="auto"/>
        <w:spacing w:line="240" w:lineRule="auto"/>
        <w:ind w:firstLine="0"/>
      </w:pPr>
      <w:r>
        <w:t>Marek Dobrowolski Marek Siwek Marek Motuk</w:t>
      </w:r>
    </w:p>
    <w:p w14:paraId="3AC2C7E6" w14:textId="77777777" w:rsidR="00E20BE6" w:rsidRDefault="00730988">
      <w:pPr>
        <w:spacing w:line="1" w:lineRule="exact"/>
        <w:sectPr w:rsidR="00E20BE6">
          <w:headerReference w:type="default" r:id="rId8"/>
          <w:headerReference w:type="first" r:id="rId9"/>
          <w:pgSz w:w="11900" w:h="16840"/>
          <w:pgMar w:top="1131" w:right="960" w:bottom="1823" w:left="1930" w:header="0" w:footer="3" w:gutter="0"/>
          <w:pgNumType w:start="1"/>
          <w:cols w:space="720"/>
          <w:noEndnote/>
          <w:titlePg/>
          <w:docGrid w:linePitch="360"/>
        </w:sectPr>
      </w:pPr>
      <w:r>
        <w:rPr>
          <w:noProof/>
        </w:rPr>
        <w:drawing>
          <wp:anchor distT="165100" distB="337820" distL="0" distR="0" simplePos="0" relativeHeight="125829378" behindDoc="0" locked="0" layoutInCell="1" allowOverlap="1" wp14:anchorId="3AC2C815" wp14:editId="3AC2C816">
            <wp:simplePos x="0" y="0"/>
            <wp:positionH relativeFrom="page">
              <wp:posOffset>2995295</wp:posOffset>
            </wp:positionH>
            <wp:positionV relativeFrom="paragraph">
              <wp:posOffset>165100</wp:posOffset>
            </wp:positionV>
            <wp:extent cx="1670050" cy="1670050"/>
            <wp:effectExtent l="0" t="0" r="0" b="0"/>
            <wp:wrapTopAndBottom/>
            <wp:docPr id="6" name="Shape 6"/>
            <wp:cNvGraphicFramePr/>
            <a:graphic xmlns:a="http://schemas.openxmlformats.org/drawingml/2006/main">
              <a:graphicData uri="http://schemas.openxmlformats.org/drawingml/2006/picture">
                <pic:pic xmlns:pic="http://schemas.openxmlformats.org/drawingml/2006/picture">
                  <pic:nvPicPr>
                    <pic:cNvPr id="7" name="Picture box 7"/>
                    <pic:cNvPicPr/>
                  </pic:nvPicPr>
                  <pic:blipFill>
                    <a:blip r:embed="rId10"/>
                    <a:stretch/>
                  </pic:blipFill>
                  <pic:spPr>
                    <a:xfrm>
                      <a:off x="0" y="0"/>
                      <a:ext cx="1670050" cy="1670050"/>
                    </a:xfrm>
                    <a:prstGeom prst="rect">
                      <a:avLst/>
                    </a:prstGeom>
                  </pic:spPr>
                </pic:pic>
              </a:graphicData>
            </a:graphic>
          </wp:anchor>
        </w:drawing>
      </w:r>
      <w:r>
        <w:rPr>
          <w:noProof/>
        </w:rPr>
        <w:drawing>
          <wp:anchor distT="762635" distB="0" distL="0" distR="0" simplePos="0" relativeHeight="125829379" behindDoc="0" locked="0" layoutInCell="1" allowOverlap="1" wp14:anchorId="3AC2C817" wp14:editId="3AC2C818">
            <wp:simplePos x="0" y="0"/>
            <wp:positionH relativeFrom="page">
              <wp:posOffset>5177790</wp:posOffset>
            </wp:positionH>
            <wp:positionV relativeFrom="paragraph">
              <wp:posOffset>762635</wp:posOffset>
            </wp:positionV>
            <wp:extent cx="1280160" cy="1408430"/>
            <wp:effectExtent l="0" t="0" r="0" b="0"/>
            <wp:wrapTopAndBottom/>
            <wp:docPr id="8" name="Shape 8"/>
            <wp:cNvGraphicFramePr/>
            <a:graphic xmlns:a="http://schemas.openxmlformats.org/drawingml/2006/main">
              <a:graphicData uri="http://schemas.openxmlformats.org/drawingml/2006/picture">
                <pic:pic xmlns:pic="http://schemas.openxmlformats.org/drawingml/2006/picture">
                  <pic:nvPicPr>
                    <pic:cNvPr id="9" name="Picture box 9"/>
                    <pic:cNvPicPr/>
                  </pic:nvPicPr>
                  <pic:blipFill>
                    <a:blip r:embed="rId11"/>
                    <a:stretch/>
                  </pic:blipFill>
                  <pic:spPr>
                    <a:xfrm>
                      <a:off x="0" y="0"/>
                      <a:ext cx="1280160" cy="1408430"/>
                    </a:xfrm>
                    <a:prstGeom prst="rect">
                      <a:avLst/>
                    </a:prstGeom>
                  </pic:spPr>
                </pic:pic>
              </a:graphicData>
            </a:graphic>
          </wp:anchor>
        </w:drawing>
      </w:r>
    </w:p>
    <w:p w14:paraId="3AC2C7E7" w14:textId="77777777" w:rsidR="00E20BE6" w:rsidRDefault="00730988">
      <w:pPr>
        <w:pStyle w:val="Teksttreci0"/>
        <w:shd w:val="clear" w:color="auto" w:fill="auto"/>
        <w:spacing w:before="180" w:after="360" w:line="240" w:lineRule="auto"/>
        <w:ind w:firstLine="0"/>
      </w:pPr>
      <w:r>
        <w:rPr>
          <w:b/>
          <w:bCs/>
        </w:rPr>
        <w:lastRenderedPageBreak/>
        <w:t>Sygn. akt II ZK 95/24</w:t>
      </w:r>
    </w:p>
    <w:p w14:paraId="3AC2C7E8" w14:textId="77777777" w:rsidR="00E20BE6" w:rsidRDefault="00730988">
      <w:pPr>
        <w:pStyle w:val="Nagwek30"/>
        <w:keepNext/>
        <w:keepLines/>
        <w:shd w:val="clear" w:color="auto" w:fill="auto"/>
        <w:spacing w:after="420"/>
      </w:pPr>
      <w:bookmarkStart w:id="6" w:name="bookmark6"/>
      <w:bookmarkStart w:id="7" w:name="bookmark7"/>
      <w:r>
        <w:t>UZASADNIENIE</w:t>
      </w:r>
      <w:bookmarkEnd w:id="6"/>
      <w:bookmarkEnd w:id="7"/>
    </w:p>
    <w:p w14:paraId="3AC2C7E9" w14:textId="0B83E87B" w:rsidR="00E20BE6" w:rsidRDefault="00730988">
      <w:pPr>
        <w:pStyle w:val="Teksttreci0"/>
        <w:shd w:val="clear" w:color="auto" w:fill="auto"/>
        <w:ind w:firstLine="740"/>
        <w:jc w:val="both"/>
      </w:pPr>
      <w:r>
        <w:t xml:space="preserve">Lekarz </w:t>
      </w:r>
      <w:r w:rsidR="00611859">
        <w:t xml:space="preserve">DB </w:t>
      </w:r>
      <w:r>
        <w:t>został obwiniony o to, że:</w:t>
      </w:r>
    </w:p>
    <w:p w14:paraId="3AC2C7EA" w14:textId="103B7BBE" w:rsidR="00E20BE6" w:rsidRDefault="00730988">
      <w:pPr>
        <w:pStyle w:val="Teksttreci0"/>
        <w:shd w:val="clear" w:color="auto" w:fill="auto"/>
        <w:ind w:left="740" w:hanging="320"/>
        <w:jc w:val="both"/>
      </w:pPr>
      <w:r>
        <w:t xml:space="preserve">1 w okresie od dnia 7 września 2019 r. do dnia 20 listopada 2019 r. wykonując zawód lekarza w </w:t>
      </w:r>
      <w:r w:rsidR="00611859">
        <w:t xml:space="preserve">(…) </w:t>
      </w:r>
      <w:r>
        <w:t xml:space="preserve">Sp. z o.o. w Krakowie, przeprowadził czynności diagnostyczne i lecznicze wobec pacjentki </w:t>
      </w:r>
      <w:r w:rsidR="00611859">
        <w:t xml:space="preserve">M M-S </w:t>
      </w:r>
      <w:r>
        <w:t>bez zachowania należytej staranności w ten sposób, że nie udzielił pacjentce właściwych wyjaśnień co do planowanego zbiegu, nie odebrał od niej wywiadu w sposób prawidłowy, nie sporządził we właściwy sposób dokumentacji medycznej zabiegu, nie przeprowadził we właściwym zakresie badań przedoperacyjnych pacjentki, w tym badania wziernikowego nosa przed zabiegiem, w dniu 20 listopada 2019 r. przeprowadził zabieg operacyjny rynoseptoplastyki z zastosowaniem niewłaściwej techniki, bez wskazań medycznych usunął znaczną część chrząstki przegrody nosa, pozostawił skrzywioną przegrodę nosa, nadmiernie zredukował małżowiny nosowe, tj. o czyn stanowiący przewinienie zawodowe określone art. 6, art. 8 i art. 13 ust. 1, 2 i 3 Kodeksu etyki w zw. z art. 53 ustawy z dnia 2 grudnia 2009 r. o izbach lekarskich;</w:t>
      </w:r>
    </w:p>
    <w:p w14:paraId="3AC2C7EC" w14:textId="7C5ABD71" w:rsidR="00E20BE6" w:rsidRDefault="00730988" w:rsidP="00611859">
      <w:pPr>
        <w:pStyle w:val="Teksttreci0"/>
        <w:numPr>
          <w:ilvl w:val="0"/>
          <w:numId w:val="2"/>
        </w:numPr>
        <w:shd w:val="clear" w:color="auto" w:fill="auto"/>
        <w:tabs>
          <w:tab w:val="left" w:pos="775"/>
        </w:tabs>
        <w:ind w:left="740" w:hanging="320"/>
        <w:jc w:val="both"/>
      </w:pPr>
      <w:r>
        <w:t xml:space="preserve">wykonując zawód lekarza w </w:t>
      </w:r>
      <w:r w:rsidR="00611859">
        <w:t xml:space="preserve">(…) </w:t>
      </w:r>
      <w:r>
        <w:t>Sp. z o.o. w Krakowie nie odnotował w dokumentacji medycznej wizyty kontrolnej pacjentki</w:t>
      </w:r>
      <w:r w:rsidR="00611859" w:rsidRPr="00611859">
        <w:t xml:space="preserve"> </w:t>
      </w:r>
      <w:r w:rsidR="00611859">
        <w:t>M M-S</w:t>
      </w:r>
      <w:r>
        <w:t>, która odbyła się w dniu 15 stycznia 2020 r.,</w:t>
      </w:r>
      <w:r w:rsidR="00611859">
        <w:t xml:space="preserve"> </w:t>
      </w:r>
      <w:r>
        <w:t>tj. o czyn stanowiący przewinienie zawodowe określone w art. 28 zdanie trzecie Kodeksu etyki lekarskiej w zw. z § 4 rozporządzenia Ministra Zdrowia z dnia 9 listopada 2015 r. w sprawie rodzajów, zakresu i wzorów dokumentacji medycznej oraz sposobu jej przetwarzania w zw. z art. 53 ustawy z dnia 2 grudnia 2009 r. o izbach lekarskich.</w:t>
      </w:r>
    </w:p>
    <w:p w14:paraId="3AC2C7ED" w14:textId="12F0940B" w:rsidR="00E20BE6" w:rsidRDefault="00730988">
      <w:pPr>
        <w:pStyle w:val="Teksttreci0"/>
        <w:shd w:val="clear" w:color="auto" w:fill="auto"/>
        <w:ind w:firstLine="780"/>
        <w:jc w:val="both"/>
      </w:pPr>
      <w:r>
        <w:t xml:space="preserve">Okręgowy Sąd Lekarski w </w:t>
      </w:r>
      <w:r w:rsidR="00611859">
        <w:t>(</w:t>
      </w:r>
      <w:r>
        <w:t>..</w:t>
      </w:r>
      <w:r w:rsidR="00611859">
        <w:t xml:space="preserve">.) </w:t>
      </w:r>
      <w:r>
        <w:t xml:space="preserve">orzeczeniem z dnia 16 stycznia 2024 r., sygn. akt Ko-103/2023, uznał lekarza </w:t>
      </w:r>
      <w:r w:rsidR="00611859">
        <w:t xml:space="preserve">DB </w:t>
      </w:r>
      <w:r>
        <w:t>za winnego zarzucanych mu przewinień zawodowych i wymierzył mu karę ograniczenia zakresu czynności w wykonywaniu zawodu lekarza na okres 12 miesięcy poprzez zakaz uczestniczenia w operacjach głowy (za czyn z pkt 1 wniosku o ukaranie) oraz karę upomnienia (za czyn z pkt 2 wniosku o ukaranie). Jednocześnie obciążył obwinionego kosztami postępowania w kwocie 6064,20 zł.</w:t>
      </w:r>
    </w:p>
    <w:p w14:paraId="3AC2C7EE" w14:textId="77777777" w:rsidR="00E20BE6" w:rsidRDefault="00730988">
      <w:pPr>
        <w:pStyle w:val="Teksttreci0"/>
        <w:shd w:val="clear" w:color="auto" w:fill="auto"/>
        <w:ind w:firstLine="720"/>
        <w:jc w:val="both"/>
      </w:pPr>
      <w:r>
        <w:t>Po rozpoznaniu odwołania wniesionego przez obrońcę obwinionego, Naczelny Sąd Lekarski orzeczeniem z dnia 22 maja 2024 r., sygn. akt NSL Rep. 58/OWU/24, zmienił zaskarżone orzeczenie i uniewinnił obwinionego od zarzucanych mu przewinień zawodowych, a kosztami postępowania obciążył Skarb Państwa.</w:t>
      </w:r>
    </w:p>
    <w:p w14:paraId="3AC2C7EF" w14:textId="54DA2549" w:rsidR="00E20BE6" w:rsidRDefault="00730988">
      <w:pPr>
        <w:pStyle w:val="Teksttreci0"/>
        <w:shd w:val="clear" w:color="auto" w:fill="auto"/>
        <w:ind w:firstLine="720"/>
        <w:jc w:val="both"/>
      </w:pPr>
      <w:r>
        <w:t xml:space="preserve">Od orzeczenia Naczelnego Sądu Lekarskiego kasację wywiodła pełnomocnik </w:t>
      </w:r>
      <w:r>
        <w:lastRenderedPageBreak/>
        <w:t>pokrzywdzonej</w:t>
      </w:r>
      <w:r w:rsidR="00611859" w:rsidRPr="00611859">
        <w:t xml:space="preserve"> </w:t>
      </w:r>
      <w:r w:rsidR="00611859">
        <w:t>M M-S</w:t>
      </w:r>
      <w:r>
        <w:t>, zaskarżając je w całości na niekorzyść obwinionego. Zaskarżonemu orzeczeniu zarzuciła:</w:t>
      </w:r>
    </w:p>
    <w:p w14:paraId="3AC2C7F0" w14:textId="77777777" w:rsidR="00E20BE6" w:rsidRDefault="00730988">
      <w:pPr>
        <w:pStyle w:val="Teksttreci0"/>
        <w:numPr>
          <w:ilvl w:val="0"/>
          <w:numId w:val="3"/>
        </w:numPr>
        <w:shd w:val="clear" w:color="auto" w:fill="auto"/>
        <w:tabs>
          <w:tab w:val="left" w:pos="1093"/>
        </w:tabs>
        <w:ind w:left="1060" w:hanging="680"/>
        <w:jc w:val="both"/>
      </w:pPr>
      <w:r>
        <w:t>rażące naruszenie przepisów postępowania, które miało istotny wpływ na treść wydanego orzeczenia, a mianowicie art. 61 ust. 3 ustawy o izbach lekarskich (powoływanej dalej jako „u.i.l.”) w zw. z art. 7 k.p.k. w zw. z art. 410 k.p.k., art. 424 § 1 pkt 1 k.p.k., art. 433 k.p.k. oraz art. 59 ust. 1 i 2 u.i.l. i art. 193 § 1 k.p.k. w zw. z art. 112 u.i.l. polegającą na przekroczeniu zasad swobodnej oceny dowodów poprzez wybiórczą, arbitralną oraz niepełną ocenę zgromadzonego w sprawie materiału dowodowego, wbrew zasadom logicznego rozumowania, wskazań wiedzy i doświadczenia życiowego, a w szczególności poprzez:</w:t>
      </w:r>
    </w:p>
    <w:p w14:paraId="3AC2C7F1" w14:textId="77777777" w:rsidR="00E20BE6" w:rsidRDefault="00730988">
      <w:pPr>
        <w:pStyle w:val="Teksttreci0"/>
        <w:numPr>
          <w:ilvl w:val="0"/>
          <w:numId w:val="4"/>
        </w:numPr>
        <w:shd w:val="clear" w:color="auto" w:fill="auto"/>
        <w:tabs>
          <w:tab w:val="left" w:pos="1439"/>
        </w:tabs>
        <w:ind w:left="1420" w:hanging="340"/>
        <w:jc w:val="both"/>
      </w:pPr>
      <w:r>
        <w:t>przyjęcie zasady prymatu dokumentacji medycznej sporządzonej przez obwinionego nad wszystkimi innymi dowodami, a w efekcie arbitralne pominięcie wszystkich dowodów, których tezy były sprzeczne z tezami zawartymi w dokumentacji medycznej sporządzonej przez obwinionego;</w:t>
      </w:r>
    </w:p>
    <w:p w14:paraId="3AC2C7F2" w14:textId="66EFF737" w:rsidR="00E20BE6" w:rsidRDefault="00730988">
      <w:pPr>
        <w:pStyle w:val="Teksttreci0"/>
        <w:numPr>
          <w:ilvl w:val="0"/>
          <w:numId w:val="4"/>
        </w:numPr>
        <w:shd w:val="clear" w:color="auto" w:fill="auto"/>
        <w:tabs>
          <w:tab w:val="left" w:pos="1439"/>
        </w:tabs>
        <w:ind w:left="1420" w:hanging="340"/>
        <w:jc w:val="both"/>
      </w:pPr>
      <w:r>
        <w:t>dokonanie kontroli odwoławczej bez odniesienia się do całości materiału dowodowego, w szczególności pominięcie wniosków wynikających z dwóch opinii biegłych sporządzonych przez biegłych powołanych przez Okręgowego Rzecznika Odpowiedzialności Zawodowej w</w:t>
      </w:r>
      <w:r w:rsidR="00611859">
        <w:t xml:space="preserve"> (…)</w:t>
      </w:r>
      <w:r>
        <w:t>; dokumentacji medycznej sporządzonej przez dr n. med.</w:t>
      </w:r>
      <w:r w:rsidR="00611859">
        <w:t>RN</w:t>
      </w:r>
      <w:r>
        <w:t>, dokumentacji medycznej sporządzonej przez dr n. med.</w:t>
      </w:r>
      <w:r w:rsidR="00611859">
        <w:t>MK</w:t>
      </w:r>
      <w:r>
        <w:t xml:space="preserve">, wiadomości mailowych wymienianych przez pokrzywdzoną z obwinionym, opinii sporządzonej przez </w:t>
      </w:r>
      <w:r w:rsidR="00611859">
        <w:t xml:space="preserve">M K-T </w:t>
      </w:r>
      <w:r>
        <w:t>oraz dokumentację fotograficzną z okresu leczenia pokrzywdzonej;</w:t>
      </w:r>
    </w:p>
    <w:p w14:paraId="3AC2C7F3" w14:textId="3028CDA7" w:rsidR="00E20BE6" w:rsidRDefault="00730988">
      <w:pPr>
        <w:pStyle w:val="Teksttreci0"/>
        <w:numPr>
          <w:ilvl w:val="0"/>
          <w:numId w:val="4"/>
        </w:numPr>
        <w:shd w:val="clear" w:color="auto" w:fill="auto"/>
        <w:tabs>
          <w:tab w:val="left" w:pos="1439"/>
        </w:tabs>
        <w:ind w:left="1420" w:hanging="340"/>
        <w:jc w:val="both"/>
      </w:pPr>
      <w:r>
        <w:t xml:space="preserve">niewłaściwą ocenę opinii biegłego specjalisty otolaryngologa dr n. med. </w:t>
      </w:r>
      <w:r w:rsidR="00611859">
        <w:t xml:space="preserve">MD </w:t>
      </w:r>
      <w:r>
        <w:t xml:space="preserve">oraz biegłego specjalisty chirurga plastycznego dr hab. n. med. </w:t>
      </w:r>
      <w:r w:rsidR="00611859">
        <w:t xml:space="preserve">MT </w:t>
      </w:r>
      <w:r>
        <w:t>i w konsekwencji pominięcie w całości wniosków wynikających z wyżej wymienionej opinii dotyczących m.in. wyboru nieprawidłowej techniki zabiegowej przez obwinionego oraz zbyt dużej ingerencji chirurgicznej przez obwinionego w struktury nosa pokrzywdzonej, jak również skutków zdrowotnych powyższego postępowania dla pokrzywdzonej;</w:t>
      </w:r>
    </w:p>
    <w:p w14:paraId="3AC2C7F4" w14:textId="77777777" w:rsidR="00E20BE6" w:rsidRDefault="00730988">
      <w:pPr>
        <w:pStyle w:val="Teksttreci0"/>
        <w:numPr>
          <w:ilvl w:val="0"/>
          <w:numId w:val="4"/>
        </w:numPr>
        <w:shd w:val="clear" w:color="auto" w:fill="auto"/>
        <w:tabs>
          <w:tab w:val="left" w:pos="1424"/>
        </w:tabs>
        <w:ind w:left="1400" w:hanging="340"/>
        <w:jc w:val="both"/>
      </w:pPr>
      <w:r>
        <w:t>sformułowania własnej oceny postępowania obwinionego wobec pokrzywdzonej na podstawie ogólnikowych i abstrakcyjnych twierdzeń dotyczących wzorca należytej staranności chirurga w oderwaniu od zgromadzonego materiału dowodowego, a w konsekwencji zastąpienie opinii biegłych specjalistów swobodnym uznaniem;</w:t>
      </w:r>
    </w:p>
    <w:p w14:paraId="3AC2C7F5" w14:textId="77777777" w:rsidR="00E20BE6" w:rsidRDefault="00730988">
      <w:pPr>
        <w:pStyle w:val="Teksttreci0"/>
        <w:numPr>
          <w:ilvl w:val="0"/>
          <w:numId w:val="4"/>
        </w:numPr>
        <w:shd w:val="clear" w:color="auto" w:fill="auto"/>
        <w:tabs>
          <w:tab w:val="left" w:pos="1424"/>
        </w:tabs>
        <w:ind w:left="1400" w:hanging="340"/>
        <w:jc w:val="both"/>
      </w:pPr>
      <w:r>
        <w:lastRenderedPageBreak/>
        <w:t>niezasadne przyjęcie, że rodzaj i zakres ingerencji chirurgicznej obwinionego był uzasadniony stanem pokrzywdzonej, podczas gdy zgromadzone w sprawie dowody przeczą istnieniu patologii anatomicznych wymagających znacznej ingerencji chirurgicznej;</w:t>
      </w:r>
    </w:p>
    <w:p w14:paraId="3AC2C7F6" w14:textId="77777777" w:rsidR="00E20BE6" w:rsidRDefault="00730988">
      <w:pPr>
        <w:pStyle w:val="Teksttreci0"/>
        <w:numPr>
          <w:ilvl w:val="0"/>
          <w:numId w:val="4"/>
        </w:numPr>
        <w:shd w:val="clear" w:color="auto" w:fill="auto"/>
        <w:tabs>
          <w:tab w:val="left" w:pos="1424"/>
        </w:tabs>
        <w:ind w:left="1400" w:hanging="340"/>
        <w:jc w:val="both"/>
      </w:pPr>
      <w:r>
        <w:t>bezpodstawne uznanie, że pomiędzy przeprowadzeniem zabiegu korekty nosa przez obwinionego a wystąpieniem u pokrzywdzonej przetoki w przegrodzie nosowej nie występuje związek przyczynowo- skutkowy, podczas gdy przed zabiegiem przetoka nie występowała, została stwierdzona po zabiegu w badaniu wziernikiem przez dwóch lekarzy oraz w badaniu TK, a nadto pomiędzy zabiegiem a stwierdzeniem przetoki nie wystąpiło żadne inne zdarzenie, które mogłoby spowodować jej powstanie;</w:t>
      </w:r>
    </w:p>
    <w:p w14:paraId="3AC2C7F7" w14:textId="77777777" w:rsidR="00E20BE6" w:rsidRDefault="00730988">
      <w:pPr>
        <w:pStyle w:val="Teksttreci0"/>
        <w:shd w:val="clear" w:color="auto" w:fill="auto"/>
        <w:ind w:left="1400" w:hanging="340"/>
        <w:jc w:val="both"/>
      </w:pPr>
      <w:r>
        <w:t>7 bezpodstawne uznanie, że pomiędzy dolegliwościami zgłaszanymi przez pokrzywdzoną, w postaci zaburzeń oddychania czy przewlekłego zapalenia zatok a zabiegiem wykonanym przez obwinionego brak jest związku przyczynowo-skutkowego, podczas gdy analiza badań TK wykonanych przed zabiegiem i rok po zabiegu jednoznacznie wskazują na wystąpienie poważnego pogorszenia stanu wewnętrznego nosa i korespondują z odczuwanymi przez pokrzywdzoną dolegliwościami;</w:t>
      </w:r>
    </w:p>
    <w:p w14:paraId="3AC2C7F8" w14:textId="77777777" w:rsidR="00E20BE6" w:rsidRDefault="00730988">
      <w:pPr>
        <w:pStyle w:val="Teksttreci0"/>
        <w:numPr>
          <w:ilvl w:val="0"/>
          <w:numId w:val="5"/>
        </w:numPr>
        <w:shd w:val="clear" w:color="auto" w:fill="auto"/>
        <w:tabs>
          <w:tab w:val="left" w:pos="1424"/>
        </w:tabs>
        <w:ind w:left="1400" w:hanging="340"/>
        <w:jc w:val="both"/>
      </w:pPr>
      <w:r>
        <w:t>bezpodstawne przyjęcie, że obwiniony prawidłowo wykonał u pokrzywdzonej zabieg chirurgicznej korekty nosa, podczas gdy zgromadzone w sprawie dowody nie tylko nie wskazują na wystąpienie poprawy stanu pokrzywdzonej po zabiegu, ale wskazują na jego znaczne pogorszenie oraz brak korekty przegrody nosowej, co skutkowało koniecznością przeprowadzenia zabiegu naprawczego;</w:t>
      </w:r>
    </w:p>
    <w:p w14:paraId="3AC2C7F9" w14:textId="77777777" w:rsidR="00E20BE6" w:rsidRDefault="00730988">
      <w:pPr>
        <w:pStyle w:val="Teksttreci0"/>
        <w:numPr>
          <w:ilvl w:val="0"/>
          <w:numId w:val="5"/>
        </w:numPr>
        <w:shd w:val="clear" w:color="auto" w:fill="auto"/>
        <w:tabs>
          <w:tab w:val="left" w:pos="1346"/>
        </w:tabs>
        <w:ind w:left="1340" w:hanging="340"/>
        <w:jc w:val="both"/>
      </w:pPr>
      <w:r>
        <w:t>bezpodstawne przyjęcie, że pokrzywdzona podpisała spersonalizowany formularz zgody na zabieg, podczas gdy z akt sprawy wynika, że pokrzywdzona otrzymała pusty formularz zgody, a nadto przed zabiegiem nie rozmawiała z obwinionym odnośnie do ryzyka związanego z zabiegiem ani możliwych powikłań, w związku z czym odręczne adnotacje lekarza musiały pojawić się na zgodzie już po jej podpisaniu przez pokrzywdzoną;</w:t>
      </w:r>
    </w:p>
    <w:p w14:paraId="3AC2C7FA" w14:textId="77777777" w:rsidR="00E20BE6" w:rsidRDefault="00730988">
      <w:pPr>
        <w:pStyle w:val="Teksttreci0"/>
        <w:numPr>
          <w:ilvl w:val="0"/>
          <w:numId w:val="5"/>
        </w:numPr>
        <w:shd w:val="clear" w:color="auto" w:fill="auto"/>
        <w:tabs>
          <w:tab w:val="left" w:pos="1432"/>
        </w:tabs>
        <w:ind w:left="1340" w:hanging="340"/>
        <w:jc w:val="both"/>
      </w:pPr>
      <w:r>
        <w:t>wadliwe uznanie, że pokrzywdzona wyraziła świadomą zgodę na zabieg, podczas, gdy analiza formularza zgody znajdująca się w aktach sprawy jasno wskazuje, że nie zawiera ona wszystkich koniecznych informacji, w tym informacji o wszystkich możliwych powikłaniach, a większość poczynionych na niej przez lekarza odręcznych adnotacji - niezależnie od czasu ich powstania - jest nieczytelna;</w:t>
      </w:r>
    </w:p>
    <w:p w14:paraId="3AC2C7FB" w14:textId="2866455A" w:rsidR="00E20BE6" w:rsidRDefault="00730988">
      <w:pPr>
        <w:pStyle w:val="Teksttreci0"/>
        <w:numPr>
          <w:ilvl w:val="0"/>
          <w:numId w:val="5"/>
        </w:numPr>
        <w:shd w:val="clear" w:color="auto" w:fill="auto"/>
        <w:tabs>
          <w:tab w:val="left" w:pos="1432"/>
        </w:tabs>
        <w:ind w:left="1340" w:hanging="340"/>
        <w:jc w:val="both"/>
      </w:pPr>
      <w:r>
        <w:lastRenderedPageBreak/>
        <w:t>bezpodstawne przyjęcie, że skoro wizyta 15 stycznia 2020 r. nie została odnotowana przez  obwinionego w dokumentacji medycznej pokrzywdzonej to do niej nie doszło, podczas gdy w aktach sprawy znajdują się dowody na jej przeprowadzenie, a nadto dowody zgromadzone w przedmiotowej sprawie, które zostały uznane za wiarygodne przez sąd pierwszej instancji wskazują że obwiniony nie prowadził należycie dokumentacji medycznej pokrzywdzonej, nie odnotował w niej jeszcze co najmniej jednej wizyty, a także przypisał sobie wizytę, którą pokrzywdzona odbyła u innego lekarza;</w:t>
      </w:r>
    </w:p>
    <w:p w14:paraId="3AC2C7FC" w14:textId="77777777" w:rsidR="00E20BE6" w:rsidRDefault="00730988">
      <w:pPr>
        <w:pStyle w:val="Teksttreci0"/>
        <w:shd w:val="clear" w:color="auto" w:fill="auto"/>
        <w:ind w:left="960" w:firstLine="40"/>
        <w:jc w:val="both"/>
      </w:pPr>
      <w:r>
        <w:t>rażące naruszenie przepisów postępowania, które miało istotny wpływ na treść wydanego orzeczenia, a mianowicie art. 89 ust. 3 pkt 1 u.i.l. w zw. z art. 112 u.i.l. wzw. z art. 457 § 3 k.p.k. i art. 424 § 1 pkt 1 i 2 k.p.k. poprzez wadliwe sporządzenie uzasadnienia zaskarżonego orzeczenia polegające na zaniechaniu dokonania oceny prawnej zachowania obwinionego, jak również zaniechaniu wskazania dowodów, które zadecydowały o przyjęciu odmiennych niż sąd pierwszej instancji faktów i okoliczności istotnych dla merytorycznego rozstrzygnięcia sprawy, jak również brak uzasadnienia pominięcia dowodów, które w ocenie sądu pierwszej instancji były istotne dla rozstrzygnięcia przedmiotowej sprawy.</w:t>
      </w:r>
    </w:p>
    <w:p w14:paraId="3AC2C7FD" w14:textId="77777777" w:rsidR="00E20BE6" w:rsidRDefault="00730988">
      <w:pPr>
        <w:pStyle w:val="Teksttreci0"/>
        <w:shd w:val="clear" w:color="auto" w:fill="auto"/>
        <w:ind w:firstLine="740"/>
        <w:jc w:val="both"/>
      </w:pPr>
      <w:r>
        <w:t>W oparciu o tak sformułowane zarzuty skarżąca wniosła o uchylenie zaskarżonego orzeczenia i przekazanie sprawy Naczelnemu Sądowi Lekarskiemu do ponownego rozpoznania,</w:t>
      </w:r>
    </w:p>
    <w:p w14:paraId="3AC2C7FE" w14:textId="0A4D3C36" w:rsidR="00E20BE6" w:rsidRDefault="00730988">
      <w:pPr>
        <w:pStyle w:val="Teksttreci0"/>
        <w:shd w:val="clear" w:color="auto" w:fill="auto"/>
        <w:ind w:firstLine="740"/>
        <w:jc w:val="both"/>
      </w:pPr>
      <w:r>
        <w:t xml:space="preserve">Odpowiedź na kasację wniósł obrońca obwinionego, wnosząc o umorzenie postępowania w zakresie czynu opisanego w punkcie 1. z uwagi na przedawnienie jego karalności, oddalenie kasacji w pozostałym zakresie jako oczywiście bezzasadnej (ewentualnie, z ostrożności procesowej, o oddalenie kasacji w całości jako oczywiście bezzasadnej) oraz o zasądzenie od </w:t>
      </w:r>
      <w:r w:rsidR="00611859">
        <w:t xml:space="preserve">M M-S </w:t>
      </w:r>
      <w:r>
        <w:t xml:space="preserve">na rzecz lek. </w:t>
      </w:r>
      <w:r w:rsidR="00611859">
        <w:t xml:space="preserve">DB </w:t>
      </w:r>
      <w:r>
        <w:t xml:space="preserve">kosztów postępowania kasacyjnego przed Sądem Najwyższym, w tym kosztów zastępstwa procesowego, według norm przepisanych. W uzasadnieniu swojego stanowiska obrońca odniósł się do twierdzeń zawartych w kasacji, wskazując na ich niezasadność. Stwierdził też, że skarżąca co do zasady kwestionuje w kasacji nie ocenę dowodów, lecz ustalenia faktyczne poczynione przez Sąd II instancji w zakresie tak zarzutu z punktu I, jak też punktu II wniosku o ukaranie. Ustawodawca nie przewidział możliwości podnoszenia w postępowaniu kasacyjnym zarzutu błędnych ustaleń faktycznych. Sąd Najwyższy nie jest władny dokonywać ponownej oceny dowodów i na podstawie własnej oceny kontrolować poprawność dokonanych w sprawie ustaleń faktycznych. Obrońca stwierdził w konkluzji swojego wywodu, że orzeczenie Sądu II instancji w pełni odpowiada prawu i jako </w:t>
      </w:r>
      <w:r>
        <w:lastRenderedPageBreak/>
        <w:t>takie winno zostać utrzymane w mocy, a kasacja pokrzywdzonej oddalona jako oczywiście bezzasadna, gdyż brak jest rażących naruszeń przepisów postępowania, o których mowa w kasacji.</w:t>
      </w:r>
    </w:p>
    <w:p w14:paraId="3AC2C7FF" w14:textId="77777777" w:rsidR="00E20BE6" w:rsidRDefault="00730988">
      <w:pPr>
        <w:pStyle w:val="Teksttreci0"/>
        <w:shd w:val="clear" w:color="auto" w:fill="auto"/>
        <w:spacing w:after="120"/>
        <w:ind w:firstLine="740"/>
        <w:jc w:val="both"/>
      </w:pPr>
      <w:r>
        <w:t>Na rozprawie w dniu 18 września 2025 r. Naczelny Rzecznik Odpowiedzialności Zawodowej poparł kasację w zakresie jej pkt 1 i wniósł o uchylenie orzeczenia Naczelnego Sądu Lekarskiego z uwagi na przedawnienie karalności. W odniesieniu do pkt 2 wniósł o oddalenie kasacji jako oczywiście bezzasadnej. Obrończyni obwinionego wniosła o oddalenie kasacji.</w:t>
      </w:r>
    </w:p>
    <w:p w14:paraId="3AC2C800" w14:textId="77777777" w:rsidR="00E20BE6" w:rsidRDefault="00730988">
      <w:pPr>
        <w:pStyle w:val="Teksttreci0"/>
        <w:shd w:val="clear" w:color="auto" w:fill="auto"/>
        <w:spacing w:after="120"/>
        <w:ind w:firstLine="740"/>
        <w:jc w:val="both"/>
      </w:pPr>
      <w:r>
        <w:rPr>
          <w:b/>
          <w:bCs/>
        </w:rPr>
        <w:t>Sąd Najwyższy zważył, co następuje.</w:t>
      </w:r>
    </w:p>
    <w:p w14:paraId="3AC2C801" w14:textId="77777777" w:rsidR="00E20BE6" w:rsidRDefault="00730988">
      <w:pPr>
        <w:pStyle w:val="Teksttreci0"/>
        <w:shd w:val="clear" w:color="auto" w:fill="auto"/>
        <w:spacing w:line="391" w:lineRule="auto"/>
        <w:ind w:firstLine="740"/>
        <w:jc w:val="both"/>
      </w:pPr>
      <w:r>
        <w:t>Kasacja jest zasadna.</w:t>
      </w:r>
    </w:p>
    <w:p w14:paraId="3AC2C802" w14:textId="77777777" w:rsidR="00E20BE6" w:rsidRDefault="00730988">
      <w:pPr>
        <w:pStyle w:val="Teksttreci0"/>
        <w:shd w:val="clear" w:color="auto" w:fill="auto"/>
        <w:spacing w:line="391" w:lineRule="auto"/>
        <w:ind w:firstLine="740"/>
        <w:jc w:val="both"/>
      </w:pPr>
      <w:r>
        <w:t>Zarzut z pkt I kasacji okazał się trafny w zakresie, w jakim przedmiotem kontestacji stało się naruszenie przez Sąd II instancji art. 59 ust. 2 u.i.l., art. 61 ust. 2 u.i.l. oraz art. 410 k.p.k, polegające na oparciu rozstrzygnięcia na okolicznościach wymagających zasięgnięcia opinii biegłego; podstawą rozstrzygnięcia zamiast tego dowodu stały się, w sposób oczywiście błędny i procesowo nieakceptowalny, wyłącznie własne dociekania Sądu II instancji, z natury rzeczy nieujawnione stronom postępowania przed zamknięciem rozprawy.</w:t>
      </w:r>
    </w:p>
    <w:p w14:paraId="3AC2C803" w14:textId="4AB2C3E5" w:rsidR="00E20BE6" w:rsidRDefault="00730988">
      <w:pPr>
        <w:pStyle w:val="Teksttreci0"/>
        <w:shd w:val="clear" w:color="auto" w:fill="auto"/>
        <w:ind w:firstLine="740"/>
        <w:jc w:val="both"/>
      </w:pPr>
      <w:r>
        <w:t>Zgodnie z treścią 59 ust. 2 u.i.l., jeżeli stwierdzenie okoliczności mających istotne znaczenie dla rozstrzygnięcia sprawy wymaga wiadomości specjalnych, zasięga się opinii biegłego lub specjalisty. Przepis ten w postępowaniu z zakresu odpowiedzialności zawodowej lekarzy jest odpowiednikiem art 193 § 1 k.p.k. mającego podobne brzmienie. Przesłanka zastosowania powołanego przepisu zaktualizowała się w realiach sprawy z zakresu odpowiedzialności zawodowej lekarza</w:t>
      </w:r>
      <w:r w:rsidR="00611859">
        <w:t xml:space="preserve"> DB</w:t>
      </w:r>
      <w:r>
        <w:t xml:space="preserve">, w konsekwencji czego Okręgowy Rzecznik Odpowiedzialności Zawodowej postanowieniem z dnia 21 września 2022 r. (tom I., k. 201) dopuścił dowód z opinii biegłego dr n. med.MD, specjalisty z dziedziny otolaryngologii w celu ustalenia: „czy postępowanie diagnostyczno-lecznicze przeprowadzone przez lekarza DB wobec pacjentki M M-S zostało przeprowadzone prawidłowo, z należytą starannością i zgodnie ze wskazaniami aktualnej wiedzy medycznej; jeżeli nie, na czym polegały nieprawidłowości; jaki był efekt przeprowadzonego zabiegu; czy dokumentacja medyczna została sporządzona prawidłowo. W związku z tym biegłemu przekazane zostały akta sprawy obejmujące m.in. dokumentację medyczną pacjentki M M-S uzyskaną z (…) Sp. z o.o. (tom I., k. 60-76), SCM Sp. z o.o. (tom I., k. 78-124), (…) (tom I., k. 126-172), opinię medyczną sporządzoną na zlecenie prywatne przez lek. med. M K-T (tom I., k. 183-199). Z kolei postanowieniem z dnia 27 grudnia 2022 r. (tom I., k. 212) Okręgowy Rzecznik Odpowiedzialności Zawodowej w (…) dopuścił dowód z opinii biegłego dr n. med.MT, specjalisty z dziedziny chirurgii ogólnej i chirurgii plastycznej, w celu uzyskania odpowiedzi na tak samo sformułowane pytania, jak w </w:t>
      </w:r>
      <w:r>
        <w:lastRenderedPageBreak/>
        <w:t>postanowieniu o zasięgnięciu opinii dr n. med.MD.</w:t>
      </w:r>
    </w:p>
    <w:p w14:paraId="3AC2C804" w14:textId="1FA1C8A0" w:rsidR="00E20BE6" w:rsidRDefault="00730988">
      <w:pPr>
        <w:pStyle w:val="Teksttreci0"/>
        <w:shd w:val="clear" w:color="auto" w:fill="auto"/>
        <w:ind w:firstLine="740"/>
        <w:jc w:val="both"/>
      </w:pPr>
      <w:r>
        <w:t xml:space="preserve">Opinia dr n. med. MD (tom I., k. 207-210) oraz opinia dr hab. n. med. MT (tom I., k. 213-215) została dołączona do materiału dowodowego. Wskazane opinie oraz dokumentacja medyczna, na </w:t>
      </w:r>
      <w:proofErr w:type="gramStart"/>
      <w:r>
        <w:t>podstawie</w:t>
      </w:r>
      <w:proofErr w:type="gramEnd"/>
      <w:r>
        <w:t xml:space="preserve"> której zostały one wydane, stały się źródłem ustaleń faktycznych poczynionych przez Okręgowy Sąd Lekarski w (…) w orzeczeniu kończącym w pierwszej instancji postępowanie przeciwko obwinionemu lekarzowi DB.</w:t>
      </w:r>
    </w:p>
    <w:p w14:paraId="3AC2C805" w14:textId="77777777" w:rsidR="00E20BE6" w:rsidRDefault="00730988">
      <w:pPr>
        <w:pStyle w:val="Teksttreci0"/>
        <w:shd w:val="clear" w:color="auto" w:fill="auto"/>
        <w:ind w:firstLine="760"/>
        <w:jc w:val="both"/>
      </w:pPr>
      <w:r>
        <w:t>Kontestując orzeczenie Sądu I instancji przez pryzmat podnoszonej wadliwości opinii biegłych, jakie stały się podstawą ustaleń faktycznych tego Sądu, we wniesionym odwołaniu słusznie zatem z procesowego punktu widzenia jednocześnie obrońca domagał się tego, by z zanegowaniem kwestionowanych opinii połączona była czynność procesowa polegająca na dopuszczeniu dowodu z opinii innych biegłych. Przyjmując więc takie założenie obrońca złożył stosowny wniosek dowodowy we wniesionym odwołaniu.</w:t>
      </w:r>
    </w:p>
    <w:p w14:paraId="3AC2C806" w14:textId="26B26A15" w:rsidR="00E20BE6" w:rsidRDefault="00730988">
      <w:pPr>
        <w:pStyle w:val="Teksttreci0"/>
        <w:shd w:val="clear" w:color="auto" w:fill="auto"/>
        <w:ind w:firstLine="760"/>
        <w:jc w:val="both"/>
      </w:pPr>
      <w:r>
        <w:t>Naczelny Sąd Lekarski w uzasadnieniu swojego rozstrzygnięcia obie te opinie zdyskwalifikował (s. 13-15 uzasadnienia). Odnosząc się do opinii drn. med.MD, Sąd II instancji wskazał m in., że: biegły nie przeprowadził badania pokrzywdzonej, które mogłoby stanowić podstawę do ustaleń, że postępowanie diagnostyczno-lecznicze przeprowadzone przez obwinionego było nieprawidłowe; w sposób nieprawidłowy opisał zabieg wykonany przez obwinionego. Sąd II instancji zakwestionował też stwierdzenia autora opinii co do tego, że przeprowadzona przez obwinionego operacja miała się przyczynić do powstania u pokrzywdzonej pooperacyjnego nieżytu zanikowego czy też do pogorszenia funkcji części zatokowej nosa. Sąd ten stwierdził ponadto, że biegły nie wykazał bezpośredniego związku rozpoznanych u pokrzywdzonej schorzeń z przebytą operacją nosa. Odnosząc się zaś do opinii dr hab. n. med.MT, Sąd II instancji stwierdził m.in. jej niepełność, wskazując, że biegły przy ocenie rozległości przeprowadzonego zabiegu operacyjnego i konieczności resekcji przegrody chrzęstnej nie odniósł się do faktu upośledzenia oddychania przez nos, zgłaszanego przez pokrzywdzoną przed operacją oraz adekwatnych do tego stanu możliwości operacyjnych w czasie zabiegu. Biegły nie wyjaśnił też, w jaki sposób postulowana przez niego repozycja zachowawcza przyczyniłaby się do uzyskania pożądanego efektu estetycznego w operowanym obszarze.</w:t>
      </w:r>
    </w:p>
    <w:p w14:paraId="3AC2C807" w14:textId="77777777" w:rsidR="00E20BE6" w:rsidRDefault="00730988">
      <w:pPr>
        <w:pStyle w:val="Teksttreci0"/>
        <w:shd w:val="clear" w:color="auto" w:fill="auto"/>
        <w:ind w:firstLine="760"/>
        <w:jc w:val="both"/>
      </w:pPr>
      <w:r>
        <w:t xml:space="preserve">W konkluzji Naczelny Sąd Lekarski przyjął, że opinie biegłych ujawnione w sprawie rodzą poważne wątpliwości co do ich merytorycznej trafności i stwierdził, że biegli nie badali pokrzywdzonej po pierwszej operacji plastyki nosa przeprowadzonej przez obwinionego w dniu 20 listopada 2019 r., dokonywali ustaleń tylko na podstawie dokumentacji medycznej dotyczącej udzielanych świadczeń zdrowotnych w latach 2019-2022 oraz wyników badania </w:t>
      </w:r>
      <w:r>
        <w:lastRenderedPageBreak/>
        <w:t xml:space="preserve">bezpośredniego z dnia 17 lutego 2023 r. obrazującego stan anatomiczny i fizjologię nosa po przebytej kolejnej operacji w tym obszarze. Takie stwierdzenia prowadzą do wniosku, </w:t>
      </w:r>
      <w:r>
        <w:rPr>
          <w:i/>
          <w:iCs/>
        </w:rPr>
        <w:t>że</w:t>
      </w:r>
      <w:r>
        <w:t xml:space="preserve"> Naczelny Sąd Lekarski uznał wspomniane opinie biegłych za niemiarodajne, zaś konkluzje z nich płynące za nieprawidłowe.</w:t>
      </w:r>
    </w:p>
    <w:p w14:paraId="3AC2C808" w14:textId="6E9F8F3D" w:rsidR="00E20BE6" w:rsidRDefault="00730988">
      <w:pPr>
        <w:pStyle w:val="Teksttreci0"/>
        <w:shd w:val="clear" w:color="auto" w:fill="auto"/>
        <w:ind w:firstLine="760"/>
        <w:jc w:val="both"/>
      </w:pPr>
      <w:r>
        <w:t>Pomimo takiego stanowiska, z niewiadomych przyczyn na rozprawie odwoławczej doszło do oddalenia wniosku dowodowego obrońcy zawartego w odwołaniu. Niewątpliwie przecież rozstrzygnięcie sprawy w zakresie zarzucanego lekarzowi DB przewinienia zawodowego wymagało zasięgnięcia wiadomości specjalnych. W orzecznictwie Sądu Najwyższego został ukształtowany ugruntowany obecnie pogląd, w myśl którego nie jest dopuszczalne zastępowanie dowodu z opinii biegłego własnym odmiennym stanowiskiem organu procesowego, bowiem oznaczałoby to ustalanie faktów bez wymaganych dowodów (por. wyrok SN z dnia 14 marca 2023 r., sygn. akt IV KK 298/22; wyrok SN z dnia 2 marca 2017 r., sygn. akt II KK 358/16; wyrok SN z dnia 7 października 2008 r., sygn. akt III KK 153/08). Nawet gdyby sąd miał wiedzę specjalistyczną medyczną to i tak musi dla oceny wiadomości specjalnych posługiwać się opinią specjalistów z danej dziedziny; organ procesowy nie może bowiem łączyć funkcji arbitra z rolą biegłego (por. wyrok SN z dnia 8 lutego 2023 r., sygn. akt I KK 441/22; wyrok SN z dnia 15 listopada 2022 r., sygn. akt II KK 374/22).</w:t>
      </w:r>
    </w:p>
    <w:p w14:paraId="3AC2C809" w14:textId="77777777" w:rsidR="00E20BE6" w:rsidRDefault="00730988">
      <w:pPr>
        <w:pStyle w:val="Teksttreci0"/>
        <w:shd w:val="clear" w:color="auto" w:fill="auto"/>
        <w:ind w:firstLine="760"/>
        <w:jc w:val="both"/>
      </w:pPr>
      <w:r>
        <w:t>Przepis art. 201 k.p.k. stanowi, że jeżeli opinia jest niepełna lub niejasna albo gdy zachodzi sprzeczność w samej opinii lub między różnymi opiniami w tej samej sprawie, można wezwać ponownie tych samych biegłych lub powołać innych. W realiach niniejszej sprawy oznacza to, że uznając sporządzone na potrzeby niniejszej sprawy opinie biegłych za niemiarodajne, Naczelny Sąd Lekarski zobligowany był albo do uzyskania od tych biegłych opinii uzupełniającej albo do powołania innych biegłych, stosownie zresztą do wspomnianego wcześniej wniosku dowodowego zawartego w odwołaniu. W każdym razie Sąd ten nie mógł po zakwestionowaniu wskazanych opinii oprzeć swojego rozstrzygnięcia na własnej analizie zagadnień medycznych. Strona ma bowiem prawo przed zakończeniem sprawy zaznajomić się z treścią opinii biegłego, poddać tę opinię ocenie pod kątem ewentualnych niejasności, sprzeczności, logiczności, kompleksowości, może też zażądać umożliwienia zadania biegłemu pytań w celu wyjaśnienia ewentualnych wątpliwości dotyczących sporządzonej przez niego opinii. W analizowanej sprawie Naczelny Sąd Lekarski realizując kompetencje zastrzeżone w art. 59 ust. 2 u.i.l. dla biegłego, pozbawił strony możliwości realizacji przysługujących im uprawnień procesowych, a zatem doszło do naruszenia dyspozycji powołanego wyżej przepisu.</w:t>
      </w:r>
    </w:p>
    <w:p w14:paraId="3AC2C80A" w14:textId="77777777" w:rsidR="00E20BE6" w:rsidRDefault="00730988">
      <w:pPr>
        <w:pStyle w:val="Teksttreci0"/>
        <w:shd w:val="clear" w:color="auto" w:fill="auto"/>
        <w:ind w:firstLine="740"/>
        <w:jc w:val="both"/>
      </w:pPr>
      <w:r>
        <w:t xml:space="preserve">Z treści art. 61 ust. 3 u.i.l. (będącego odpowiednikiem art. 7 k.p.k.) wynika również obowiązek oparcia rozstrzygnięcia na dowodach, które zostały przez Sąd przeprowadzone. </w:t>
      </w:r>
      <w:r>
        <w:lastRenderedPageBreak/>
        <w:t>Naczelny Sąd Lekarski nie rozstrzygając kwestii wymagających wiadomości specjalnych w oparciu o dowód w postaci opinii biegłego, a poprzestając w tym zakresie na własnych dociekaniach, naruszył treść powołanego przepisu. Nie ulega wątpliwości, że dokonana w zakresie zarzutu z pkt. I wniosku ocena dowodów nie może być uznana za swobodną, skoro sprowadza się do zanegowania dowodów o charakterze specjalistycznym nie przy wykorzystaniu innych dowodów, ze wskazaniem przyczyn ich wiarygodności, ale zupełnie arbitralnie, a więc dowolnie.</w:t>
      </w:r>
    </w:p>
    <w:p w14:paraId="3AC2C80B" w14:textId="77777777" w:rsidR="00E20BE6" w:rsidRDefault="00730988">
      <w:pPr>
        <w:pStyle w:val="Teksttreci0"/>
        <w:shd w:val="clear" w:color="auto" w:fill="auto"/>
        <w:ind w:firstLine="740"/>
        <w:jc w:val="both"/>
      </w:pPr>
      <w:r>
        <w:t>Tego rodzaju uchybienie było połączone z naruszeniem art. 410 k.p.k. w zakresie, w jakim przepis ten obliguje sąd do oparcia swojego rozstrzygnięcia na całokształcie okoliczności ujawnionych w toku rozprawy - Sąd odwoławczy rozstrzygając w niniejszej sprawie odmiennie co do istoty sprawy dokonał własnych ustaleń faktycznych w zakresie wymagającym zasięgnięcia wiadomości specjalnych, których nie zasięgnął, choć miał taki obowiązek. W tej sytuacji postawą wydanego orzeczenia stały się okoliczności, które wcześniej nie zostały ujawnione stronom.</w:t>
      </w:r>
    </w:p>
    <w:p w14:paraId="3AC2C80C" w14:textId="77777777" w:rsidR="00E20BE6" w:rsidRDefault="00730988">
      <w:pPr>
        <w:pStyle w:val="Teksttreci0"/>
        <w:shd w:val="clear" w:color="auto" w:fill="auto"/>
        <w:ind w:firstLine="740"/>
        <w:jc w:val="both"/>
      </w:pPr>
      <w:r>
        <w:t>Zarzut z pkt. I kasacji jest trafny również w tym aspekcie, w jakim dotyczy rozstrzygnięcia o uniewinnieniu od drugiego z przypisanych czynów i wskazuje na naruszenie przez Sąd II instancji zasady swobodnej oceny dowodów (art. 61 ust. 3 u.i.l.) w kontekście przyjęcia przez ten Sąd przy ocenie zarzutów stawianych obwinionemu „zasady prymatu dokumentacji medycznej” sporządzonej przez obwinionego nad innymi środkami dowodowymi. Tego typu metodyka oceny dowodów narusza zasady logicznego rozumowania, jeśli dostrzeże się, że zarzuty stawiane obwinionemu obejmują właśnie takie zachowania jak niesporządzenie we właściwy sposób dokumentacji medycznej (zarzut z pkt. 1 wniosku o ukaranie) oraz nieodnotowanie wizyt pacjentki w dokumentacji (zarzut z pkt. 2 wniosku o ukaranie). Jeżeli bowiem przedmiotem zarzutu jest nierzetelność w sporządzaniu dokumentacji medycznej, to ustalanie istotnych dla sprawy faktów w oparciu wyłącznie o tę dokumentację narusza w sposób oczywisty zasady logiki - przy takim założeniu nigdy nie doszłoby do ustalenia, że dany dokument jest nieprawdziwy w zakresie zawartej w nim treści. Konieczne było zatem przeprowadzenie innych dostępnych dowodów na okoliczność tego, czy do kwestionowanej wizyty w ogóle doszło do dopiero wówczas poddać ocenie cały zebrany materiał dowodowy i rozstrzygnąć sprawę.</w:t>
      </w:r>
    </w:p>
    <w:p w14:paraId="3AC2C80D" w14:textId="0F4909CB" w:rsidR="00E20BE6" w:rsidRDefault="00730988">
      <w:pPr>
        <w:pStyle w:val="Teksttreci0"/>
        <w:shd w:val="clear" w:color="auto" w:fill="auto"/>
        <w:ind w:firstLine="780"/>
        <w:jc w:val="both"/>
      </w:pPr>
      <w:r>
        <w:t xml:space="preserve">Trafny okazał się również zarzut z pkt. II kasacji w zakresie dotyczącym czynu zarzucanego obwinionemu w pkt. 2 wniosku o ukaranie polegającego na nieodnotowaniu w dokumentacji medycznej wizyty pacjentki M M-S w dniu 15 stycznia 2020 r. Naczelny Sąd Lekarski w uzasadnieniu orzeczenia, jak już wyżej wskazano, stwierdził, że „uznając prymat </w:t>
      </w:r>
      <w:r>
        <w:lastRenderedPageBreak/>
        <w:t xml:space="preserve">dokumentacji medycznej jako jedynego, wiarygodnego źródła informacji, nie znajduje w sprawie innych dowodów obiektywnie świadczących o tym, że taka wizyta w rzeczywistości miała miejsce”. Wymaga natomiast dostrzeżenia, że w aktach sprawy znajduje się materiał dowodowy, który pozwala na poczynienie w tym zakresie odmiennych ustaleń, a więc powinien być poddany odpowiedniej ocenie, uwzględniającej kryteria z art. 7 k.p.k. O wizycie kontrolnej we wskazanym dniu u lekarza DB zeznawała przede wszystkim pokrzywdzona. W aktach znajduje się również jej pismo z dnia 6 grudnia 2023 r., do którego został dołączony wydruk korespondencji prowadzonej między pokrzywdzoną, a inną pacjentką tego lekarza, na temat przebiegu wizyty z dnia 15 stycznia 2020 r. oraz fotografie twarzy pokrzywdzonej wykonane w </w:t>
      </w:r>
      <w:proofErr w:type="gramStart"/>
      <w:r>
        <w:t>klinice  (</w:t>
      </w:r>
      <w:proofErr w:type="gramEnd"/>
      <w:r>
        <w:t>…) w tym samym dniu. Ustalenia Sądu II instancji co do braku dowodów wskazujących na wizytę pacjentki u lekarza DB w dniu 15 stycznia 2020 r. z niewiadomych powodów pomijają zatem dowody o przeciwnej treści. Co więcej, rudymentarnym obowiązkiem Sądu odwoławczego było ustosunkowanie się do tych dowodów, a w wypadku odmówienia tym dowodom wiarygodności i mocy dowodowej - wyjaśnienie w uzasadnieniu powodów zajęcia takiego stanowiska. Zgodnie bowiem z treścią art. 89 ust. 3 pkt 1 u.i.l. (będącego odpowiednikiem art. 424 § 1 pkt 1 k.p.k.), uzasadnienie orzeczenia sądu lekarskiego, oprócz wskazania faktów, jakie sąd lekarski uznał za udowodnione bądź nieudowodnione, powinno też zawierać wskazanie, na jakich oprał się dowodach i dlaczego nie uznał dowodów przeciwnych. Skoro Sąd II instancji dokonywał w sprawie własnych ustaleń faktycznych, odmiennych od tych, jakich dokonał Okręgowy Sąd Lekarski, spoczywała na nim powinność sporządzenia uzasadnienia spełniającego wymogi uzasadnienia sądu I instancji. Oczywiście nie rzecz w sprawie w tym, że naruszone zostały wyłącznie od strony formalnej wymogi procesowe dotyczące uzasadnienia orzeczenia. Naruszenia te mają jednak nie tylko wymiar formalny, ale wskazują zarazem wprost na uchybienia wymogom przewidzianym w art. 61 ust. 3 u.i.l., które z pewnością mają charakter rażący, skoro wynikają z intencjonalnego pominięcia części dowodów wskazujących na odmienne okoliczności, aniżeli ustalone przez Sąd odwoławczy.</w:t>
      </w:r>
      <w:r>
        <w:br w:type="page"/>
      </w:r>
    </w:p>
    <w:p w14:paraId="3AC2C80E" w14:textId="77777777" w:rsidR="00E20BE6" w:rsidRDefault="00730988">
      <w:pPr>
        <w:pStyle w:val="Teksttreci0"/>
        <w:shd w:val="clear" w:color="auto" w:fill="auto"/>
        <w:ind w:firstLine="740"/>
        <w:jc w:val="both"/>
      </w:pPr>
      <w:r>
        <w:lastRenderedPageBreak/>
        <w:t>Z uwagi na trafne podniesienie w kasacji wymienionych wyżej uchybień Sąd Najwyższy uchylił zaskarżone orzeczenie Naczelnego Sądu Lekarskiego z dnia 25 kwietnia 2024 r., a wobec tego, że ustała karalność obu czynów zarzucanych obwinionemu (pięcioletni okres przedawnienia karalności czynu z pkt. 1 wniosku o ukaranie upłynął z dniem 20 listopada 2024 r., zaś czynu z pkt 2 tego wniosku - z dniem 15 stycznia 2025 r.), ponowne rozpatrzenie sprawy przez Sąd II instancji nie może mieć już miejsca. Zgodnie bowiem z treścią art. 63 pkt 4 u.i.l. postępowanie w przedmiocie odpowiedzialności zawodowej lekarza umarza się, jeżeli nastąpiło ustanie karalności.</w:t>
      </w:r>
    </w:p>
    <w:p w14:paraId="3AC2C80F" w14:textId="77777777" w:rsidR="00E20BE6" w:rsidRDefault="00730988">
      <w:pPr>
        <w:pStyle w:val="Teksttreci0"/>
        <w:shd w:val="clear" w:color="auto" w:fill="auto"/>
        <w:ind w:firstLine="740"/>
        <w:jc w:val="both"/>
      </w:pPr>
      <w:r>
        <w:t>Stosownie do treści art. 436 k.p.k. w zw. z art. 518 k.p.k. w zw. z art. 112 pkt 1 u.i.l. Sąd Najwyższy rozpatrując kasację, ograniczył jej rozpoznanie tylko do niektórych uchybień podniesionych przez stronę w ramach zarzutów kasacji, wobec uznania, że stwierdzone uchybienia są wystarczające do wydania orzeczenia; w tej sytuacji rozpoznanie kasacji w zakresie pozostałych zarzutów byłoby bezprzedmiotowe.</w:t>
      </w:r>
    </w:p>
    <w:p w14:paraId="3AC2C810" w14:textId="77777777" w:rsidR="00E20BE6" w:rsidRDefault="00730988">
      <w:pPr>
        <w:pStyle w:val="Teksttreci0"/>
        <w:shd w:val="clear" w:color="auto" w:fill="auto"/>
        <w:ind w:firstLine="740"/>
        <w:jc w:val="both"/>
      </w:pPr>
      <w:r>
        <w:t>Z przedstawionych wyżej względów Sąd Najwyższy orzekł jak w sentencji, rozstrzygając o kosztach postępowania kasacyjnego na podstawie art. 89 ust. 4 u.i.l.</w:t>
      </w:r>
    </w:p>
    <w:p w14:paraId="3AC2C811" w14:textId="77777777" w:rsidR="00E20BE6" w:rsidRDefault="00730988">
      <w:pPr>
        <w:pStyle w:val="Teksttreci0"/>
        <w:shd w:val="clear" w:color="auto" w:fill="auto"/>
        <w:spacing w:after="680"/>
        <w:ind w:firstLine="740"/>
        <w:jc w:val="both"/>
      </w:pPr>
      <w:r>
        <w:t>Z uwagi na uwzględnienie kasacji, Sąd Najwyższy mając na względzie treść art. 527 § 4 k.p.k., orzekł o zwrocie pokrzywdzonej opłaty uiszczonej z tytułu wniesienia tego środka zaskarżenia.</w:t>
      </w:r>
    </w:p>
    <w:p w14:paraId="3AC2C812" w14:textId="77777777" w:rsidR="00E20BE6" w:rsidRDefault="00730988">
      <w:pPr>
        <w:pStyle w:val="Teksttreci20"/>
        <w:shd w:val="clear" w:color="auto" w:fill="auto"/>
      </w:pPr>
      <w:r>
        <w:rPr>
          <w:noProof/>
        </w:rPr>
        <w:drawing>
          <wp:anchor distT="0" distB="0" distL="114300" distR="114300" simplePos="0" relativeHeight="125829380" behindDoc="0" locked="0" layoutInCell="1" allowOverlap="1" wp14:anchorId="3AC2C819" wp14:editId="3AC2C81A">
            <wp:simplePos x="0" y="0"/>
            <wp:positionH relativeFrom="page">
              <wp:posOffset>3086100</wp:posOffset>
            </wp:positionH>
            <wp:positionV relativeFrom="margin">
              <wp:posOffset>5137150</wp:posOffset>
            </wp:positionV>
            <wp:extent cx="1670050" cy="1670050"/>
            <wp:effectExtent l="0" t="0" r="0" b="0"/>
            <wp:wrapSquare wrapText="right"/>
            <wp:docPr id="10" name="Shape 10"/>
            <wp:cNvGraphicFramePr/>
            <a:graphic xmlns:a="http://schemas.openxmlformats.org/drawingml/2006/main">
              <a:graphicData uri="http://schemas.openxmlformats.org/drawingml/2006/picture">
                <pic:pic xmlns:pic="http://schemas.openxmlformats.org/drawingml/2006/picture">
                  <pic:nvPicPr>
                    <pic:cNvPr id="11" name="Picture box 11"/>
                    <pic:cNvPicPr/>
                  </pic:nvPicPr>
                  <pic:blipFill>
                    <a:blip r:embed="rId12"/>
                    <a:stretch/>
                  </pic:blipFill>
                  <pic:spPr>
                    <a:xfrm>
                      <a:off x="0" y="0"/>
                      <a:ext cx="1670050" cy="1670050"/>
                    </a:xfrm>
                    <a:prstGeom prst="rect">
                      <a:avLst/>
                    </a:prstGeom>
                  </pic:spPr>
                </pic:pic>
              </a:graphicData>
            </a:graphic>
          </wp:anchor>
        </w:drawing>
      </w:r>
      <w:r>
        <w:rPr>
          <w:noProof/>
        </w:rPr>
        <w:drawing>
          <wp:anchor distT="0" distB="0" distL="114300" distR="114300" simplePos="0" relativeHeight="125829381" behindDoc="0" locked="0" layoutInCell="1" allowOverlap="1" wp14:anchorId="3AC2C81B" wp14:editId="3AC2C81C">
            <wp:simplePos x="0" y="0"/>
            <wp:positionH relativeFrom="page">
              <wp:posOffset>5835650</wp:posOffset>
            </wp:positionH>
            <wp:positionV relativeFrom="margin">
              <wp:posOffset>6167755</wp:posOffset>
            </wp:positionV>
            <wp:extent cx="353695" cy="865505"/>
            <wp:effectExtent l="0" t="0" r="0" b="0"/>
            <wp:wrapTopAndBottom/>
            <wp:docPr id="12" name="Shape 12"/>
            <wp:cNvGraphicFramePr/>
            <a:graphic xmlns:a="http://schemas.openxmlformats.org/drawingml/2006/main">
              <a:graphicData uri="http://schemas.openxmlformats.org/drawingml/2006/picture">
                <pic:pic xmlns:pic="http://schemas.openxmlformats.org/drawingml/2006/picture">
                  <pic:nvPicPr>
                    <pic:cNvPr id="13" name="Picture box 13"/>
                    <pic:cNvPicPr/>
                  </pic:nvPicPr>
                  <pic:blipFill>
                    <a:blip r:embed="rId13"/>
                    <a:stretch/>
                  </pic:blipFill>
                  <pic:spPr>
                    <a:xfrm>
                      <a:off x="0" y="0"/>
                      <a:ext cx="353695" cy="865505"/>
                    </a:xfrm>
                    <a:prstGeom prst="rect">
                      <a:avLst/>
                    </a:prstGeom>
                  </pic:spPr>
                </pic:pic>
              </a:graphicData>
            </a:graphic>
          </wp:anchor>
        </w:drawing>
      </w:r>
      <w:r>
        <w:t xml:space="preserve">i- właściwe </w:t>
      </w:r>
      <w:proofErr w:type="gramStart"/>
      <w:r>
        <w:t>podpisy ’</w:t>
      </w:r>
      <w:proofErr w:type="gramEnd"/>
      <w:r>
        <w:t xml:space="preserve"> ■■ * r.</w:t>
      </w:r>
    </w:p>
    <w:sectPr w:rsidR="00E20BE6">
      <w:headerReference w:type="default" r:id="rId14"/>
      <w:footerReference w:type="default" r:id="rId15"/>
      <w:pgSz w:w="11900" w:h="16840"/>
      <w:pgMar w:top="1326" w:right="1301" w:bottom="1168" w:left="1363" w:header="898"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2C825" w14:textId="77777777" w:rsidR="00730988" w:rsidRDefault="00730988">
      <w:r>
        <w:separator/>
      </w:r>
    </w:p>
  </w:endnote>
  <w:endnote w:type="continuationSeparator" w:id="0">
    <w:p w14:paraId="3AC2C827" w14:textId="77777777" w:rsidR="00730988" w:rsidRDefault="00730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C822" w14:textId="77777777" w:rsidR="00E20BE6" w:rsidRDefault="00730988">
    <w:pPr>
      <w:spacing w:line="1" w:lineRule="exact"/>
    </w:pPr>
    <w:r>
      <w:rPr>
        <w:noProof/>
      </w:rPr>
      <mc:AlternateContent>
        <mc:Choice Requires="wps">
          <w:drawing>
            <wp:anchor distT="0" distB="0" distL="0" distR="0" simplePos="0" relativeHeight="62914694" behindDoc="1" locked="0" layoutInCell="1" allowOverlap="1" wp14:anchorId="3AC2C827" wp14:editId="3AC2C828">
              <wp:simplePos x="0" y="0"/>
              <wp:positionH relativeFrom="page">
                <wp:posOffset>3721735</wp:posOffset>
              </wp:positionH>
              <wp:positionV relativeFrom="page">
                <wp:posOffset>10015220</wp:posOffset>
              </wp:positionV>
              <wp:extent cx="137160" cy="106680"/>
              <wp:effectExtent l="0" t="0" r="0" b="0"/>
              <wp:wrapNone/>
              <wp:docPr id="14" name="Shape 14"/>
              <wp:cNvGraphicFramePr/>
              <a:graphic xmlns:a="http://schemas.openxmlformats.org/drawingml/2006/main">
                <a:graphicData uri="http://schemas.microsoft.com/office/word/2010/wordprocessingShape">
                  <wps:wsp>
                    <wps:cNvSpPr txBox="1"/>
                    <wps:spPr>
                      <a:xfrm>
                        <a:off x="0" y="0"/>
                        <a:ext cx="137160" cy="106680"/>
                      </a:xfrm>
                      <a:prstGeom prst="rect">
                        <a:avLst/>
                      </a:prstGeom>
                      <a:noFill/>
                    </wps:spPr>
                    <wps:txbx>
                      <w:txbxContent>
                        <w:p w14:paraId="3AC2C82B" w14:textId="77777777" w:rsidR="00E20BE6" w:rsidRDefault="00730988">
                          <w:pPr>
                            <w:pStyle w:val="Nagweklubstopka20"/>
                            <w:shd w:val="clear" w:color="auto" w:fill="auto"/>
                            <w:rPr>
                              <w:sz w:val="22"/>
                              <w:szCs w:val="22"/>
                            </w:rPr>
                          </w:pPr>
                          <w:r>
                            <w:fldChar w:fldCharType="begin"/>
                          </w:r>
                          <w:r>
                            <w:instrText xml:space="preserve"> PAGE \* MERGEFORMAT </w:instrText>
                          </w:r>
                          <w:r>
                            <w:fldChar w:fldCharType="separate"/>
                          </w:r>
                          <w:r>
                            <w:rPr>
                              <w:rFonts w:ascii="Arial" w:eastAsia="Arial" w:hAnsi="Arial" w:cs="Arial"/>
                              <w:sz w:val="22"/>
                              <w:szCs w:val="22"/>
                            </w:rPr>
                            <w:t>#</w:t>
                          </w:r>
                          <w:r>
                            <w:rPr>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3AC2C827" id="_x0000_t202" coordsize="21600,21600" o:spt="202" path="m,l,21600r21600,l21600,xe">
              <v:stroke joinstyle="miter"/>
              <v:path gradientshapeok="t" o:connecttype="rect"/>
            </v:shapetype>
            <v:shape id="Shape 14" o:spid="_x0000_s1028" type="#_x0000_t202" style="position:absolute;margin-left:293.05pt;margin-top:788.6pt;width:10.8pt;height:8.4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" filled="f" stroked="f">
              <v:textbox style="mso-fit-shape-to-text:t" inset="0,0,0,0">
                <w:txbxContent>
                  <w:p w14:paraId="3AC2C82B" w14:textId="77777777" w:rsidR="00E20BE6" w:rsidRDefault="00730988">
                    <w:pPr>
                      <w:pStyle w:val="Nagweklubstopka20"/>
                      <w:shd w:val="clear" w:color="auto" w:fill="auto"/>
                      <w:rPr>
                        <w:sz w:val="22"/>
                        <w:szCs w:val="22"/>
                      </w:rPr>
                    </w:pPr>
                    <w:r>
                      <w:fldChar w:fldCharType="begin"/>
                    </w:r>
                    <w:r>
                      <w:instrText xml:space="preserve"> PAGE \* MERGEFORMAT </w:instrText>
                    </w:r>
                    <w:r>
                      <w:fldChar w:fldCharType="separate"/>
                    </w:r>
                    <w:r>
                      <w:rPr>
                        <w:rFonts w:ascii="Arial" w:eastAsia="Arial" w:hAnsi="Arial" w:cs="Arial"/>
                        <w:sz w:val="22"/>
                        <w:szCs w:val="22"/>
                      </w:rPr>
                      <w:t>#</w:t>
                    </w:r>
                    <w:r>
                      <w:rPr>
                        <w:rFonts w:ascii="Arial" w:eastAsia="Arial" w:hAnsi="Arial" w:cs="Arial"/>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2C81D" w14:textId="77777777" w:rsidR="00E20BE6" w:rsidRDefault="00E20BE6"/>
  </w:footnote>
  <w:footnote w:type="continuationSeparator" w:id="0">
    <w:p w14:paraId="3AC2C81E" w14:textId="77777777" w:rsidR="00E20BE6" w:rsidRDefault="00E20B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C81F" w14:textId="77777777" w:rsidR="00E20BE6" w:rsidRDefault="00730988">
    <w:pPr>
      <w:spacing w:line="1" w:lineRule="exact"/>
    </w:pPr>
    <w:r>
      <w:rPr>
        <w:noProof/>
      </w:rPr>
      <mc:AlternateContent>
        <mc:Choice Requires="wps">
          <w:drawing>
            <wp:anchor distT="0" distB="0" distL="0" distR="0" simplePos="0" relativeHeight="62914690" behindDoc="1" locked="0" layoutInCell="1" allowOverlap="1" wp14:anchorId="3AC2C823" wp14:editId="3AC2C824">
              <wp:simplePos x="0" y="0"/>
              <wp:positionH relativeFrom="page">
                <wp:posOffset>1337310</wp:posOffset>
              </wp:positionH>
              <wp:positionV relativeFrom="page">
                <wp:posOffset>520065</wp:posOffset>
              </wp:positionV>
              <wp:extent cx="2761615" cy="118745"/>
              <wp:effectExtent l="0" t="0" r="0" b="0"/>
              <wp:wrapNone/>
              <wp:docPr id="2" name="Shape 2"/>
              <wp:cNvGraphicFramePr/>
              <a:graphic xmlns:a="http://schemas.openxmlformats.org/drawingml/2006/main">
                <a:graphicData uri="http://schemas.microsoft.com/office/word/2010/wordprocessingShape">
                  <wps:wsp>
                    <wps:cNvSpPr txBox="1"/>
                    <wps:spPr>
                      <a:xfrm>
                        <a:off x="0" y="0"/>
                        <a:ext cx="2761615" cy="118745"/>
                      </a:xfrm>
                      <a:prstGeom prst="rect">
                        <a:avLst/>
                      </a:prstGeom>
                      <a:noFill/>
                    </wps:spPr>
                    <wps:txbx>
                      <w:txbxContent>
                        <w:p w14:paraId="3AC2C829" w14:textId="77777777" w:rsidR="00E20BE6" w:rsidRDefault="00730988">
                          <w:pPr>
                            <w:pStyle w:val="Nagweklubstopka20"/>
                            <w:shd w:val="clear" w:color="auto" w:fill="auto"/>
                            <w:tabs>
                              <w:tab w:val="right" w:pos="4349"/>
                            </w:tabs>
                            <w:rPr>
                              <w:sz w:val="22"/>
                              <w:szCs w:val="22"/>
                            </w:rPr>
                          </w:pPr>
                          <w:r>
                            <w:rPr>
                              <w:rFonts w:ascii="Arial" w:eastAsia="Arial" w:hAnsi="Arial" w:cs="Arial"/>
                              <w:sz w:val="22"/>
                              <w:szCs w:val="22"/>
                            </w:rPr>
                            <w:t>II ZK 95/24</w:t>
                          </w:r>
                          <w:r>
                            <w:rPr>
                              <w:rFonts w:ascii="Arial" w:eastAsia="Arial" w:hAnsi="Arial" w:cs="Arial"/>
                              <w:sz w:val="22"/>
                              <w:szCs w:val="22"/>
                            </w:rPr>
                            <w:tab/>
                            <w:t>2</w:t>
                          </w:r>
                        </w:p>
                      </w:txbxContent>
                    </wps:txbx>
                    <wps:bodyPr lIns="0" tIns="0" rIns="0" bIns="0">
                      <a:spAutoFit/>
                    </wps:bodyPr>
                  </wps:wsp>
                </a:graphicData>
              </a:graphic>
            </wp:anchor>
          </w:drawing>
        </mc:Choice>
        <mc:Fallback>
          <w:pict>
            <v:shapetype w14:anchorId="3AC2C823" id="_x0000_t202" coordsize="21600,21600" o:spt="202" path="m,l,21600r21600,l21600,xe">
              <v:stroke joinstyle="miter"/>
              <v:path gradientshapeok="t" o:connecttype="rect"/>
            </v:shapetype>
            <v:shape id="Shape 2" o:spid="_x0000_s1026" type="#_x0000_t202" style="position:absolute;margin-left:105.3pt;margin-top:40.95pt;width:217.45pt;height:9.3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" filled="f" stroked="f">
              <v:textbox style="mso-fit-shape-to-text:t" inset="0,0,0,0">
                <w:txbxContent>
                  <w:p w14:paraId="3AC2C829" w14:textId="77777777" w:rsidR="00E20BE6" w:rsidRDefault="00730988">
                    <w:pPr>
                      <w:pStyle w:val="Nagweklubstopka20"/>
                      <w:shd w:val="clear" w:color="auto" w:fill="auto"/>
                      <w:tabs>
                        <w:tab w:val="right" w:pos="4349"/>
                      </w:tabs>
                      <w:rPr>
                        <w:sz w:val="22"/>
                        <w:szCs w:val="22"/>
                      </w:rPr>
                    </w:pPr>
                    <w:r>
                      <w:rPr>
                        <w:rFonts w:ascii="Arial" w:eastAsia="Arial" w:hAnsi="Arial" w:cs="Arial"/>
                        <w:sz w:val="22"/>
                        <w:szCs w:val="22"/>
                      </w:rPr>
                      <w:t>II ZK 95/24</w:t>
                    </w:r>
                    <w:r>
                      <w:rPr>
                        <w:rFonts w:ascii="Arial" w:eastAsia="Arial" w:hAnsi="Arial" w:cs="Arial"/>
                        <w:sz w:val="22"/>
                        <w:szCs w:val="22"/>
                      </w:rPr>
                      <w:tab/>
                      <w:t>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C820" w14:textId="77777777" w:rsidR="00E20BE6" w:rsidRDefault="00730988">
    <w:pPr>
      <w:spacing w:line="1" w:lineRule="exact"/>
    </w:pPr>
    <w:r>
      <w:rPr>
        <w:noProof/>
      </w:rPr>
      <mc:AlternateContent>
        <mc:Choice Requires="wps">
          <w:drawing>
            <wp:anchor distT="0" distB="0" distL="0" distR="0" simplePos="0" relativeHeight="62914692" behindDoc="1" locked="0" layoutInCell="1" allowOverlap="1" wp14:anchorId="3AC2C825" wp14:editId="3AC2C826">
              <wp:simplePos x="0" y="0"/>
              <wp:positionH relativeFrom="page">
                <wp:posOffset>1289685</wp:posOffset>
              </wp:positionH>
              <wp:positionV relativeFrom="page">
                <wp:posOffset>501650</wp:posOffset>
              </wp:positionV>
              <wp:extent cx="734695" cy="118745"/>
              <wp:effectExtent l="0" t="0" r="0" b="0"/>
              <wp:wrapNone/>
              <wp:docPr id="4" name="Shape 4"/>
              <wp:cNvGraphicFramePr/>
              <a:graphic xmlns:a="http://schemas.openxmlformats.org/drawingml/2006/main">
                <a:graphicData uri="http://schemas.microsoft.com/office/word/2010/wordprocessingShape">
                  <wps:wsp>
                    <wps:cNvSpPr txBox="1"/>
                    <wps:spPr>
                      <a:xfrm>
                        <a:off x="0" y="0"/>
                        <a:ext cx="734695" cy="118745"/>
                      </a:xfrm>
                      <a:prstGeom prst="rect">
                        <a:avLst/>
                      </a:prstGeom>
                      <a:noFill/>
                    </wps:spPr>
                    <wps:txbx>
                      <w:txbxContent>
                        <w:p w14:paraId="3AC2C82A" w14:textId="77777777" w:rsidR="00E20BE6" w:rsidRDefault="00730988">
                          <w:pPr>
                            <w:pStyle w:val="Nagweklubstopka20"/>
                            <w:shd w:val="clear" w:color="auto" w:fill="auto"/>
                            <w:rPr>
                              <w:sz w:val="22"/>
                              <w:szCs w:val="22"/>
                            </w:rPr>
                          </w:pPr>
                          <w:r>
                            <w:rPr>
                              <w:rFonts w:ascii="Arial" w:eastAsia="Arial" w:hAnsi="Arial" w:cs="Arial"/>
                              <w:sz w:val="22"/>
                              <w:szCs w:val="22"/>
                            </w:rPr>
                            <w:t>II ZK 95/24</w:t>
                          </w:r>
                        </w:p>
                      </w:txbxContent>
                    </wps:txbx>
                    <wps:bodyPr wrap="none" lIns="0" tIns="0" rIns="0" bIns="0">
                      <a:spAutoFit/>
                    </wps:bodyPr>
                  </wps:wsp>
                </a:graphicData>
              </a:graphic>
            </wp:anchor>
          </w:drawing>
        </mc:Choice>
        <mc:Fallback>
          <w:pict>
            <v:shapetype w14:anchorId="3AC2C825" id="_x0000_t202" coordsize="21600,21600" o:spt="202" path="m,l,21600r21600,l21600,xe">
              <v:stroke joinstyle="miter"/>
              <v:path gradientshapeok="t" o:connecttype="rect"/>
            </v:shapetype>
            <v:shape id="Shape 4" o:spid="_x0000_s1027" type="#_x0000_t202" style="position:absolute;margin-left:101.55pt;margin-top:39.5pt;width:57.85pt;height:9.3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" filled="f" stroked="f">
              <v:textbox style="mso-fit-shape-to-text:t" inset="0,0,0,0">
                <w:txbxContent>
                  <w:p w14:paraId="3AC2C82A" w14:textId="77777777" w:rsidR="00E20BE6" w:rsidRDefault="00730988">
                    <w:pPr>
                      <w:pStyle w:val="Nagweklubstopka20"/>
                      <w:shd w:val="clear" w:color="auto" w:fill="auto"/>
                      <w:rPr>
                        <w:sz w:val="22"/>
                        <w:szCs w:val="22"/>
                      </w:rPr>
                    </w:pPr>
                    <w:r>
                      <w:rPr>
                        <w:rFonts w:ascii="Arial" w:eastAsia="Arial" w:hAnsi="Arial" w:cs="Arial"/>
                        <w:sz w:val="22"/>
                        <w:szCs w:val="22"/>
                      </w:rPr>
                      <w:t>II ZK 95/24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C821" w14:textId="77777777" w:rsidR="00E20BE6" w:rsidRDefault="00E20B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03187"/>
    <w:multiLevelType w:val="multilevel"/>
    <w:tmpl w:val="85A47EA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D776AA8"/>
    <w:multiLevelType w:val="multilevel"/>
    <w:tmpl w:val="BCF21216"/>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E0E0024"/>
    <w:multiLevelType w:val="multilevel"/>
    <w:tmpl w:val="2EB67DBC"/>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F050196"/>
    <w:multiLevelType w:val="multilevel"/>
    <w:tmpl w:val="02249516"/>
    <w:lvl w:ilvl="0">
      <w:start w:val="8"/>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5F70F4A"/>
    <w:multiLevelType w:val="multilevel"/>
    <w:tmpl w:val="5E02F998"/>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871322">
    <w:abstractNumId w:val="1"/>
  </w:num>
  <w:num w:numId="2" w16cid:durableId="974141975">
    <w:abstractNumId w:val="4"/>
  </w:num>
  <w:num w:numId="3" w16cid:durableId="970594259">
    <w:abstractNumId w:val="2"/>
  </w:num>
  <w:num w:numId="4" w16cid:durableId="1158114311">
    <w:abstractNumId w:val="0"/>
  </w:num>
  <w:num w:numId="5" w16cid:durableId="831411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BE6"/>
    <w:rsid w:val="00562641"/>
    <w:rsid w:val="00611859"/>
    <w:rsid w:val="00730988"/>
    <w:rsid w:val="009A6E51"/>
    <w:rsid w:val="00A06A3F"/>
    <w:rsid w:val="00E20B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2C7D0"/>
  <w15:docId w15:val="{8A5CBA27-BA93-4C98-B6E2-B2F3918FF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
    <w:name w:val="Nagłówek #1_"/>
    <w:basedOn w:val="Domylnaczcionkaakapitu"/>
    <w:link w:val="Nagwek10"/>
    <w:rPr>
      <w:rFonts w:ascii="Arial" w:eastAsia="Arial" w:hAnsi="Arial" w:cs="Arial"/>
      <w:b w:val="0"/>
      <w:bCs w:val="0"/>
      <w:i w:val="0"/>
      <w:iCs w:val="0"/>
      <w:smallCaps w:val="0"/>
      <w:strike w:val="0"/>
      <w:color w:val="BAD3F0"/>
      <w:sz w:val="40"/>
      <w:szCs w:val="40"/>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Nagwek2">
    <w:name w:val="Nagłówek #2_"/>
    <w:basedOn w:val="Domylnaczcionkaakapitu"/>
    <w:link w:val="Nagwek20"/>
    <w:rPr>
      <w:rFonts w:ascii="Arial" w:eastAsia="Arial" w:hAnsi="Arial" w:cs="Arial"/>
      <w:b/>
      <w:bCs/>
      <w:i w:val="0"/>
      <w:iCs w:val="0"/>
      <w:smallCaps w:val="0"/>
      <w:strike w:val="0"/>
      <w:sz w:val="36"/>
      <w:szCs w:val="36"/>
      <w:u w:val="none"/>
    </w:rPr>
  </w:style>
  <w:style w:type="character" w:customStyle="1" w:styleId="Nagwek3">
    <w:name w:val="Nagłówek #3_"/>
    <w:basedOn w:val="Domylnaczcionkaakapitu"/>
    <w:link w:val="Nagwek30"/>
    <w:rPr>
      <w:rFonts w:ascii="Arial" w:eastAsia="Arial" w:hAnsi="Arial" w:cs="Arial"/>
      <w:b/>
      <w:bCs/>
      <w:i w:val="0"/>
      <w:iCs w:val="0"/>
      <w:smallCaps w:val="0"/>
      <w:strike w:val="0"/>
      <w:sz w:val="28"/>
      <w:szCs w:val="28"/>
      <w:u w:val="none"/>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22"/>
      <w:szCs w:val="22"/>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color w:val="BAD3F0"/>
      <w:sz w:val="19"/>
      <w:szCs w:val="19"/>
      <w:u w:val="none"/>
    </w:rPr>
  </w:style>
  <w:style w:type="paragraph" w:customStyle="1" w:styleId="Nagwek10">
    <w:name w:val="Nagłówek #1"/>
    <w:basedOn w:val="Normalny"/>
    <w:link w:val="Nagwek1"/>
    <w:pPr>
      <w:shd w:val="clear" w:color="auto" w:fill="FFFFFF"/>
      <w:spacing w:after="120"/>
      <w:ind w:right="440"/>
      <w:jc w:val="right"/>
      <w:outlineLvl w:val="0"/>
    </w:pPr>
    <w:rPr>
      <w:rFonts w:ascii="Arial" w:eastAsia="Arial" w:hAnsi="Arial" w:cs="Arial"/>
      <w:color w:val="BAD3F0"/>
      <w:sz w:val="40"/>
      <w:szCs w:val="40"/>
    </w:rPr>
  </w:style>
  <w:style w:type="paragraph" w:customStyle="1" w:styleId="Nagweklubstopka20">
    <w:name w:val="Nagłówek lub stopka (2)"/>
    <w:basedOn w:val="Normalny"/>
    <w:link w:val="Nagweklubstopka2"/>
    <w:pPr>
      <w:shd w:val="clear" w:color="auto" w:fill="FFFFFF"/>
    </w:pPr>
    <w:rPr>
      <w:rFonts w:ascii="Times New Roman" w:eastAsia="Times New Roman" w:hAnsi="Times New Roman" w:cs="Times New Roman"/>
      <w:sz w:val="20"/>
      <w:szCs w:val="20"/>
    </w:rPr>
  </w:style>
  <w:style w:type="paragraph" w:customStyle="1" w:styleId="Nagwek20">
    <w:name w:val="Nagłówek #2"/>
    <w:basedOn w:val="Normalny"/>
    <w:link w:val="Nagwek2"/>
    <w:pPr>
      <w:shd w:val="clear" w:color="auto" w:fill="FFFFFF"/>
      <w:spacing w:after="60"/>
      <w:jc w:val="center"/>
      <w:outlineLvl w:val="1"/>
    </w:pPr>
    <w:rPr>
      <w:rFonts w:ascii="Arial" w:eastAsia="Arial" w:hAnsi="Arial" w:cs="Arial"/>
      <w:b/>
      <w:bCs/>
      <w:sz w:val="36"/>
      <w:szCs w:val="36"/>
    </w:rPr>
  </w:style>
  <w:style w:type="paragraph" w:customStyle="1" w:styleId="Nagwek30">
    <w:name w:val="Nagłówek #3"/>
    <w:basedOn w:val="Normalny"/>
    <w:link w:val="Nagwek3"/>
    <w:pPr>
      <w:shd w:val="clear" w:color="auto" w:fill="FFFFFF"/>
      <w:spacing w:after="340"/>
      <w:jc w:val="center"/>
      <w:outlineLvl w:val="2"/>
    </w:pPr>
    <w:rPr>
      <w:rFonts w:ascii="Arial" w:eastAsia="Arial" w:hAnsi="Arial" w:cs="Arial"/>
      <w:b/>
      <w:bCs/>
      <w:sz w:val="28"/>
      <w:szCs w:val="28"/>
    </w:rPr>
  </w:style>
  <w:style w:type="paragraph" w:customStyle="1" w:styleId="Teksttreci0">
    <w:name w:val="Tekst treści"/>
    <w:basedOn w:val="Normalny"/>
    <w:link w:val="Teksttreci"/>
    <w:pPr>
      <w:shd w:val="clear" w:color="auto" w:fill="FFFFFF"/>
      <w:spacing w:line="394" w:lineRule="auto"/>
      <w:ind w:firstLine="400"/>
    </w:pPr>
    <w:rPr>
      <w:rFonts w:ascii="Arial" w:eastAsia="Arial" w:hAnsi="Arial" w:cs="Arial"/>
      <w:sz w:val="22"/>
      <w:szCs w:val="22"/>
    </w:rPr>
  </w:style>
  <w:style w:type="paragraph" w:customStyle="1" w:styleId="Teksttreci20">
    <w:name w:val="Tekst treści (2)"/>
    <w:basedOn w:val="Normalny"/>
    <w:link w:val="Teksttreci2"/>
    <w:pPr>
      <w:shd w:val="clear" w:color="auto" w:fill="FFFFFF"/>
      <w:spacing w:after="340" w:line="348" w:lineRule="auto"/>
      <w:ind w:left="1120"/>
    </w:pPr>
    <w:rPr>
      <w:rFonts w:ascii="Times New Roman" w:eastAsia="Times New Roman" w:hAnsi="Times New Roman" w:cs="Times New Roman"/>
      <w:color w:val="BAD3F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12</Pages>
  <Words>3738</Words>
  <Characters>22429</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Ewa Nowosielska</cp:lastModifiedBy>
  <cp:revision>3</cp:revision>
  <dcterms:created xsi:type="dcterms:W3CDTF">2025-12-08T12:53:00Z</dcterms:created>
  <dcterms:modified xsi:type="dcterms:W3CDTF">2025-12-08T13:22:00Z</dcterms:modified>
</cp:coreProperties>
</file>