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1.7 (Apache licensed) using REFERENCE JAXB in Oracle Java 11.0.5 on Linux -->
    <w:p>
      <w:pPr>
        <w:pStyle w:val="TitleStyle"/>
      </w:pPr>
      <w:r>
        <w:t>Niepożądane odczyny poszczepienne oraz kryteria ich rozpoznawania.</w:t>
      </w:r>
    </w:p>
    <w:p>
      <w:pPr>
        <w:pStyle w:val="NormalStyle"/>
      </w:pPr>
      <w:r>
        <w:t>Dz.U.2010.254.1711 z dnia 2010.12.30</w:t>
      </w:r>
    </w:p>
    <w:p>
      <w:pPr>
        <w:pStyle w:val="NormalStyle"/>
      </w:pPr>
      <w:r>
        <w:t xml:space="preserve">Status: Akt obowiązujący </w:t>
      </w:r>
    </w:p>
    <w:p>
      <w:pPr>
        <w:pStyle w:val="NormalStyle"/>
      </w:pPr>
      <w:r>
        <w:t xml:space="preserve">Wersja od: 6 stycznia 2021r. 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Wejście w życie: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 stycznia 2011 r.</w:t>
      </w:r>
    </w:p>
    <w:p>
      <w:pPr>
        <w:spacing w:after="0"/>
        <w:ind w:left="0"/>
        <w:jc w:val="left"/>
        <w:textAlignment w:val="auto"/>
      </w:pPr>
      <w:r>
        <w:br/>
      </w:r>
    </w:p>
    <w:p>
      <w:pPr>
        <w:spacing w:before="146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ROZPORZĄDZENIE</w:t>
      </w:r>
    </w:p>
    <w:p>
      <w:pPr>
        <w:spacing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MINISTRA ZDROWIA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z dnia 21 grudnia 2010 r.</w:t>
      </w: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w sprawie niepożądanych odczynów poszczepiennych oraz kryteriów ich rozpoznawania</w:t>
      </w:r>
    </w:p>
    <w:p>
      <w:pPr>
        <w:spacing w:before="80" w:after="240"/>
        <w:ind w:left="0"/>
        <w:jc w:val="center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21 ust. 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5 grudnia 2008 r. o zapobieganiu oraz zwalczaniu zakażeń i chorób zakaźnych u ludzi (Dz. U. Nr 234, poz. 1570, z 2009 r. Nr 76, poz. 641 oraz z 2010 r. Nr 107, poz. 679) zarządza się, co następuje: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Rozporządzenie określa: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rodzaje niepożądanych odczynów poszczepiennych i kryteria ich rozpoznawania na potrzeby nadzoru epidemiologicznego;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sposób zgłaszania niepożądanych odczynów poszczepiennych;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wzory formularzy zgłoszeń niepożądanych odczynów poszczepiennych;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4)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sposób prowadzenia rejestru zgłoszeń niepożądanych odczynów poszczepiennych, udostępniania danych nim objętych oraz okres ich przechowywania.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Rodzaje niepożądanych odczynów poszczepiennych i kryteria ich rozpoznawania na potrzeby nadzoru epidemiologicznego określa załącznik nr 1 do rozporządzenia.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3. 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Formularz zgłoszenia niepożądanego odczynu poszczepiennego po szczepieniu innym niż przeciw gruźlicy (BCG) i szczepieniu przeciw gruźlicy (BCG) stanowi karta zgłoszenia niepożądanego odczynu poszczepiennego, której wzór określa załącznik nr 2 do rozporządzenia.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4. 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Zgłoszenie niepożądanego odczynu poszczepiennego lekarz lub felczer: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sporządza i przesyła w postaci elektronicznej z bezpośrednim wykorzystaniem systemu wymiany informacji w ramach systemów wymiany informacji w zakresie dotyczącym zadań Państwowej Inspekcji Sanitarnej, o których mowa w przepisach wydanych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8a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14 marca 1985 r. o Państwowej Inspekcji Sanitarnej (Dz. U. z 2019 r. poz. 59 oraz z 2020 r. poz. 322, 374, 567, 1337 i 2112), lub z udziałem współpracującego z tym systemem narzędzia informatycznego udostępnionego przez jednostkę podległą ministrowi właściwemu do spraw zdrowia właściwą w zakresie systemów informacyjnych ochrony zdrowia w ramach systemu teleinformatycznego, o którym mowa w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7 ust. 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28 kwietnia 2011 r. o systemie informacji w ochronie zdrowia (Dz. U. z 2020 r. poz. 702, 1493, 1875, 2345 i 2401), z uwzględnieniem zakresu danych wynikających z karty zgłoszenia niepożądanego odczynu poszczepiennego, albo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sporządza w postaci elektronicznej, w formie dokumentu elektronicznego - karty zgłoszenia niepożądanego odczynu poszczepiennego - i przesyła za pomocą środków komunikacji elektronicznej w postaci zaszyfrowanej - jeżeli pozwalają na to możliwości techniczne nadawcy i odbiorcy.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Zgłoszenie niepożądanego odczynu poszczepiennego przesyłane w sposób określony w ust. 1 podpisuje się podpisem zaufanym, kwalifikowanym podpisem elektronicznym albo podpisem osobistym.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5. 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Lekarz lub felczer, który rozpoznaje niepożądany odczyn poszczepienny lub podejrzewa jego wystąpienie po szczepieniu innym niż BCG lub po szczepieniu BCG, uzupełnia dane określone w części I-VII karty zgłoszenia niepożądanego odczynu poszczepiennego w przypadku, gdy szczepienie było przeprowadzone w miejscu rozpoznania lub podejrzenia niepożądanego odczynu poszczepiennego.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Lekarz lub felczer, który rozpoznaje niepożądany odczyn poszczepienny lub podejrzewa jego wystąpienie po szczepieniu innym niż BCG lub po szczepieniu BCG, uzupełnia dane określone w części I-VII karty zgłoszenia niepożądanego odczynu poszczepiennego w przypadku, gdy szczepienie zostało przeprowadzone w miejscu innym, niż rozpoznano niepożądany odczyn poszczepienny, lub podejrzewa się wystąpienie niepożądanego odczynu poszczepiennego.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Państwowy powiatowy inspektor sanitarny uzupełnia dane określone w części VI karty zgłoszenia niepożądanego odczynu poszczepiennego, jeżeli nie zostały uzupełnione przez lekarza lub felczera, i części VIII karty zgłoszenia niepożądanego odczynu poszczepiennego albo przekazuje zgłoszenie niepożądanego odczynu poszczepiennego państwowemu powiatowemu inspektorowi sanitarnemu właściwemu ze względu na miejsce szczepienia.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6. 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stwierdzenia oczywistej omyłki w zgłoszeniu niepożądanego odczynu poszczepiennego właściwy państwowy powiatowy inspektor sanitarny dokonuje korekty tego zgłoszenia.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Korekty zgłoszenia niepożądanego odczynu poszczepiennego można dokonać w postaci elektronicznej - w formie dokumentu elektronicznego, telefonicznie, faksem lub z użyciem innego urządzenia do teletransmisji danych.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Telefoniczną korektę zgłoszenia niepożądanego odczynu poszczepiennego należy niezwłocznie potwierdzić pisemnie w postaci elektronicznej - w formie dokumentu elektronicznego.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7.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 przypadku wystąpienia ciężkiego lub poważnego niepożądanego odczynu poszczepiennego właściwy państwowy powiatowy inspektor sanitarny, nie później niż po upływie godziny po powzięciu wiadomości, udostępnia informacje o fakcie wystąpienia takiego odczynu właściwemu państwowemu wojewódzkiemu inspektorowi sanitarnemu.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Państwowy wojewódzki inspektor sanitarny, nie później niż po upływie godziny od powzięcia wiadomości, o której mowa w ust. 1, niezwłocznie udostępnia tę informację Głównemu Inspektorowi Sanitarnemu, wskazanej przez niego specjalistycznej jednostce i wojewódzkiemu inspektorowi farmaceutycznemu.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8. 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Państwowy powiatowy inspektor sanitarny prowadzi w postaci elektronicznej powiatowy rejestr zgłoszeń niepożądanych odczynów poszczepiennych.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Państwowy wojewódzki inspektor sanitarny prowadzi w postaci elektronicznej wojewódzki rejestr zgłoszeń niepożądanych odczynów poszczepiennych.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9.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zgromadzone w rejestrze zgłoszeń niepożądanych odczynów poszczepiennych, o których mowa w § 8, są przechowywane przez 10 lat od dnia zgłoszenia niepożądanego odczynu poszczepiennego.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10.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z rejestru zgłoszeń niepożądanych odczynów poszczepiennych są udostępniane przez: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okazanie rejestru zgłoszeń niepożądanych odczynów poszczepiennych do wglądu;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sporządzenie wydruków z rejestru zgłoszeń niepożądanych odczynów poszczepiennych;</w:t>
      </w:r>
    </w:p>
    <w:p>
      <w:pPr>
        <w:spacing w:before="26" w:after="0"/>
        <w:ind w:left="373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przesłanie rejestru zgłoszeń niepożądanych odczynów poszczepiennych za pomocą środków porozumiewania się na odległość lub wydanie na informatycznym nośniku danych podmiotu ubiegającego się o udostępnienie.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Dane z rejestru zgłoszeń niepożądanych odczynów poszczepiennych są udostępniane również zbiorczo Głównemu Inspektorowi Sanitarnemu lub wskazanej przez niego specjalistycznej jednostce celem przygotowania i podania do publicznej wiadomości informacji o niepożądanych odczynach poszczepiennych zgłoszonych na obszarze kraju.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11.  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Powiatowe wykazy zgłoszeń niepożądanych odczynów poszczepiennych i wojewódzkie wykazy niepożądanych odczynów poszczepiennych prowadzone przed dniem wejścia w życie niniejszego rozporządzenia stają się odpowiednio powiatowymi rejestrami zgłoszeń niepożądanych odczynów poszczepiennych i wojewódzkimi rejestrami zgłoszeń niepożądanych odczynów poszczepiennych.</w:t>
      </w:r>
    </w:p>
    <w:p>
      <w:pPr>
        <w:spacing w:before="26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Zgłoszenia niepożądanych odczynów poszczepiennych dokonane przed dniem wejścia w życie niniejszego rozporządzenia właściwy państwowy inspektor sanitarny uzupełnia na podstawie przepisów dotychczasowych.</w:t>
      </w:r>
    </w:p>
    <w:p>
      <w:pPr>
        <w:spacing w:before="26" w:after="24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§  12. 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Rozporządzenie wchodzi w życie z dniem 1 stycznia 2011 r. </w:t>
      </w: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ZAŁĄCZNIKI 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1 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RODZAJE I KRYTERIA ROZPOZNAWANIA NIEPOŻĄDANYCH ODCZYNÓW POSZCZEPIENNYCH NA POTRZEBY NADZORU EPIDEMIOLOGICZNEGO*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I. Ogólne rodzaje i kryteria niepożądanych odczynów poszczepiennych na potrzeby nadzoru epidemiologicznego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Jako ciężki niepożądany odczyn poszczepienny kwalifikuje się niepożądany odczyn poszczepienny, który zagraża życiu i może: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wymagać hospitalizacji w celu ratowania zdrowia;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prowadzić do trwałego ubytku sprawności fizycznej lub umysłowej;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kończyć się śmiercią.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Jako poważny niepożądany odczyn poszczepienny kwalifikuje się niepożądany odczyn poszczepienny, który charakteryzuje się dużym nasileniem objawów w postaci znacznego obrzęku kończyny, silnego jej zaczerwienienia, wysokiej gorączki, ale: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wymaga zwykle hospitalizacji w celu ratowania zdrowia;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prowadzi do trwałego uszczerbku dla zdrowia;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 stanowi zagrożenia dla życia.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3.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Jako łagodny niepożądany odczyn poszczepienny kwalifikuje się niepożądany odczyn poszczepienny, który nie ma szczególnie dużego nasilenia, a charakteryzuje się występowaniem: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miejscowego obrzęku kończyny;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silnego miejscowego zaczerwienienia;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gorączki.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II. Szczegółowe rodzaje i kryteria niepożądanych odczynów poszczepiennych na potrzeby nadzoru epidemiologicznego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1)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odczyny miejscowe, w tym odczyny miejscowe po szczepieniu BCG: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obrzęk,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powiększenie węzłów chłonnych,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ropień w miejscu wstrzyknięcia;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2)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niepożądane odczyny poszczepienne ze strony ośrodkowego układu nerwowego (OUN):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encefalopatia,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drgawki gorączkowe,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drgawki niegorączkowe,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porażenie wiotkie wywołane wirusem szczepionkowym,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zapalenie mózgu,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zapalenie opon mózgowo-rdzeniowych,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g)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zespół Guillaina-Barrégo;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3)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 niepożądane odczyny poszczepienne: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a)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bóle stawowe,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b)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epizod hipotensyjno-hiporeaktywny,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c)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gorączka powyżej 39°C,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d)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małopłytkowość,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e)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nieutulony ciągły płacz,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f)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posocznica, w tym wstrząs septyczny,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g)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reakcja anafilaktyczna,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h)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reakcje alergiczne,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i)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uogólnione zakażenie BCG,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j)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wstrząs anafilaktyczny,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k)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zapalenie jąder,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l)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zapalenie ślinianek,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m)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porażenie splotu barkowego,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n) 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inne poważne odczyny występujące do 4 tygodni po szczepieniu.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* Jeśli nie podano inaczej i z wyjątkiem odczynów po szczepieniu BCG, za związane czasowo ze szczepieniem uznaje się zaburzenia stanu zdrowia, które wystąpiły w okresie 4 tygodni po podaniu szczepionki. Mogą one być wynikiem: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1) indywidualnej reakcji organizmu człowieka szczepionego na podanie szczepionki;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2) błędu wykonania szczepionki lub błędu podania szczepionki;</w:t>
      </w:r>
    </w:p>
    <w:p>
      <w:pPr>
        <w:spacing w:before="25" w:after="0"/>
        <w:ind w:left="0"/>
        <w:jc w:val="both"/>
        <w:textAlignment w:val="auto"/>
      </w:pPr>
      <w:r>
        <w:rPr>
          <w:rFonts w:ascii="Times New Roman"/>
          <w:b w:val="false"/>
          <w:i w:val="false"/>
          <w:color w:val="000000"/>
          <w:sz w:val="24"/>
          <w:lang w:val="pl-PL"/>
        </w:rPr>
        <w:t>3) zjawisk od szczepienia niezależnych, a tylko przypadkowo pojawiających się po szczepieniu.</w:t>
      </w:r>
    </w:p>
    <w:p>
      <w:pPr>
        <w:spacing w:after="0"/>
        <w:ind w:left="0"/>
        <w:jc w:val="left"/>
        <w:textAlignment w:val="auto"/>
      </w:pPr>
    </w:p>
    <w:p>
      <w:pPr>
        <w:spacing w:before="80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 xml:space="preserve">ZAŁĄCZNIK Nr  2  </w:t>
      </w:r>
      <w:r>
        <w:rPr>
          <w:rFonts w:ascii="Times New Roman"/>
          <w:b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/>
          <w:i w:val="false"/>
          <w:color w:val="000000"/>
          <w:sz w:val="24"/>
          <w:lang w:val="pl-PL"/>
        </w:rPr>
        <w:t xml:space="preserve"> </w:t>
      </w:r>
    </w:p>
    <w:p>
      <w:pPr>
        <w:spacing w:before="25" w:after="0"/>
        <w:ind w:left="0"/>
        <w:jc w:val="center"/>
        <w:textAlignment w:val="auto"/>
      </w:pPr>
      <w:r>
        <w:rPr>
          <w:rFonts w:ascii="Times New Roman"/>
          <w:b/>
          <w:i w:val="false"/>
          <w:color w:val="000000"/>
          <w:sz w:val="24"/>
          <w:lang w:val="pl-PL"/>
        </w:rPr>
        <w:t>KARTA ZGŁOSZENIA NIEPOŻĄDANEGO ODCZYNU POSZCZEPIENNEGO (NOP)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1b1b1b"/>
          <w:sz w:val="24"/>
          <w:lang w:val="pl-PL"/>
        </w:rPr>
        <w:t>wzór</w:t>
      </w:r>
    </w:p>
    <w:p>
      <w:pPr>
        <w:spacing w:before="250"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Minister Zdrowia kieruje działem administracji rządowej - zdrowie, na podstawie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§ 1 ust. 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rozporządzenia Prezesa Rady Ministrów z dnia 16 listopada 2007 r. w sprawie szczegółowego zakresu działania Ministra Zdrowia (Dz. U. Nr 216, poz. 1607).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2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3 zmieniony przez § 1 pkt 1 rozporządzenia z dnia 31 grudnia 2020 r. (Dz.U.2021.13) zmieniającego nin. rozporządzenie z dniem 6 stycznia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3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4 zmieniony przez § 1 pkt 1 rozporządzenia z dnia 31 grudnia 2020 r. (Dz.U.2021.13) zmieniającego nin. rozporządzenie z dniem 6 stycznia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4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5 zmieniony przez § 1 pkt 1 rozporządzenia z dnia 31 grudnia 2020 r. (Dz.U.2021.13) zmieniającego nin. rozporządzenie z dniem 6 stycznia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5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6 zmieniony przez § 1 pkt 1 rozporządzenia z dnia 31 grudnia 2020 r. (Dz.U.2021.13) zmieniającego nin. rozporządzenie z dniem 6 stycznia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6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8 zmieniony przez § 1 pkt 2 rozporządzenia z dnia 31 grudnia 2020 r. (Dz.U.2021.13) zmieniającego nin. rozporządzenie z dniem 6 stycznia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7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10 ust. 1 pkt 2 zmieniony przez § 1 pkt 3 rozporządzenia z dnia 31 grudnia 2020 r. (Dz.U.2021.13) zmieniającego nin. rozporządzenie z dniem 6 stycznia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§ 10 ust. 1 pkt 3 zmieniony przez § 1 pkt 3 rozporządzenia z dnia 31 grudnia 2020 r. (Dz.U.2021.13) zmieniającego nin. rozporządzenie z dniem 6 stycznia 2021 r.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9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 Niniejsze rozporządzenie było poprzedzone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rozporządzeniem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Ministra Zdrowia z dnia 23 grudnia 2002 r. w sprawie niepożądanych odczynów poszczepiennych (Dz. U. Nr 241, poz. 2097 oraz z 2005 r. Nr 232, poz. 1973), które zgodnie z </w:t>
      </w:r>
      <w:r>
        <w:rPr>
          <w:rFonts w:ascii="Times New Roman"/>
          <w:b w:val="false"/>
          <w:i w:val="false"/>
          <w:color w:val="1b1b1b"/>
          <w:sz w:val="24"/>
          <w:lang w:val="pl-PL"/>
        </w:rPr>
        <w:t>art. 68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 xml:space="preserve"> ustawy z dnia 5 grudnia 2008 r. o zapobieganiu oraz zwalczaniu zakażeń i chorób zakaźnych u ludzi utraciło moc z dniem wejścia w życie niniejszego rozporządzenia.</w:t>
      </w:r>
    </w:p>
    <w:p>
      <w:pPr>
        <w:spacing w:after="0"/>
        <w:ind w:left="0"/>
        <w:jc w:val="left"/>
        <w:textAlignment w:val="auto"/>
      </w:pPr>
      <w:r>
        <w:rPr>
          <w:rFonts w:ascii="Times New Roman"/>
          <w:b w:val="false"/>
          <w:i w:val="false"/>
          <w:color w:val="000000"/>
          <w:sz w:val="24"/>
          <w:vertAlign w:val="superscript"/>
          <w:lang w:val="pl-PL"/>
        </w:rPr>
        <w:t>10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 Załącznik nr 2: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rozporządzenia z dnia 11 października 2019 r. (Dz.U.2019.2050) zmieniającego nin. rozporządzenie z dniem 9 listopada 2019 r.</w:t>
      </w:r>
      <w:r>
        <w:rPr>
          <w:rFonts w:ascii="Times New Roman"/>
          <w:b w:val="false"/>
          <w:i w:val="false"/>
          <w:color w:val="000000"/>
          <w:sz w:val="24"/>
          <w:lang w:val="pl-PL"/>
        </w:rPr>
        <w:t>- zmieniony przez § 1 pkt 4 rozporządzenia z dnia 31 grudnia 2020 r. (Dz.U.2021.13) zmieniającego nin. rozporządzenie z dniem 6 stycznia 2021 r.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none"/>
      <w:lvlText w:val=""/>
      <w:lvlJc w:val="left"/>
      <w:pPr>
        <w:ind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="Times New Roman" w:hAnsi="Times New Roman" w:eastAsia="Times New Roman" w:cs="Times New Roman" w:asciiTheme="minorHAnsi" w:hAnsiTheme="minorHAnsi" w:eastAsiaTheme="minorHAnsi" w:cstheme="minorBidi"/>
        <w:sz w:val="24"/>
        <w:szCs w:val="22"/>
        <w:lang w:val="pl-PL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rFonts w:ascii="Times New Roman" w:hAnsi="Times New Roman" w:eastAsia="Times New Roman" w:cs="Times New Roman"/>
      <w:sz w:val="24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Style">
    <w:name w:val="Head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Style">
    <w:name w:val="TitleStyle"/>
    <w:pPr>
      <w:spacing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TitleCenterStyle">
    <w:name w:val="TitleCenterStyle"/>
    <w:pPr>
      <w:spacing w:line="240" w:lineRule="auto"/>
      <w:jc w:val="center"/>
    </w:pPr>
    <w:rPr>
      <w:rFonts w:ascii="Times New Roman" w:hAnsi="Times New Roman" w:eastAsia="Times New Roman" w:cs="Times New Roman"/>
      <w:b/>
      <w:color w:val="000000" w:themeColor="text1"/>
      <w:sz w:val="24"/>
    </w:rPr>
  </w:style>
  <w:style w:type="paragraph" w:styleId="NormalStyle">
    <w:name w:val="NormalStyle"/>
    <w:pPr>
      <w:spacing w:after="0"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NormalSpacingStyle">
    <w:name w:val="NormalSpacingStyle"/>
    <w:pPr>
      <w:spacing w:line="240" w:lineRule="auto"/>
      <w:jc w:val="left"/>
    </w:pPr>
    <w:rPr>
      <w:rFonts w:ascii="Times New Roman" w:hAnsi="Times New Roman" w:eastAsia="Times New Roman" w:cs="Times New Roman"/>
      <w:color w:val="000000" w:themeColor="text1"/>
      <w:sz w:val="24"/>
    </w:rPr>
  </w:style>
  <w:style w:type="paragraph" w:styleId="BoldStyle">
    <w:name w:val="BoldStyle"/>
    <w:pPr>
      <w:spacing w:after="0" w:line="240" w:lineRule="auto"/>
      <w:jc w:val="left"/>
    </w:pPr>
    <w:rPr>
      <w:rFonts w:ascii="Times New Roman" w:hAnsi="Times New Roman" w:eastAsia="Times New Roman" w:cs="Times New Roman"/>
      <w:b/>
      <w:color w:val="000000" w:themeColor="text1"/>
      <w:sz w:val="24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