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DFC64" w14:textId="77777777" w:rsidR="00677DF5" w:rsidRDefault="00677DF5" w:rsidP="00677DF5">
      <w:pPr>
        <w:pStyle w:val="Teksttreci0"/>
        <w:shd w:val="clear" w:color="auto" w:fill="auto"/>
        <w:ind w:left="-709" w:firstLine="0"/>
        <w:jc w:val="center"/>
        <w:rPr>
          <w:rFonts w:ascii="Times New Roman" w:hAnsi="Times New Roman" w:cs="Times New Roman"/>
          <w:b/>
          <w:bCs/>
          <w:color w:val="000000"/>
          <w:sz w:val="24"/>
          <w:szCs w:val="24"/>
          <w:lang w:eastAsia="pl-PL" w:bidi="pl-PL"/>
        </w:rPr>
      </w:pPr>
      <w:r w:rsidRPr="00677DF5">
        <w:rPr>
          <w:rFonts w:ascii="Times New Roman" w:hAnsi="Times New Roman" w:cs="Times New Roman"/>
          <w:b/>
          <w:bCs/>
          <w:color w:val="000000"/>
          <w:sz w:val="24"/>
          <w:szCs w:val="24"/>
          <w:lang w:eastAsia="pl-PL" w:bidi="pl-PL"/>
        </w:rPr>
        <w:t>Protokół ze spotkani</w:t>
      </w:r>
      <w:r>
        <w:rPr>
          <w:rFonts w:ascii="Times New Roman" w:hAnsi="Times New Roman" w:cs="Times New Roman"/>
          <w:b/>
          <w:bCs/>
          <w:color w:val="000000"/>
          <w:sz w:val="24"/>
          <w:szCs w:val="24"/>
          <w:lang w:eastAsia="pl-PL" w:bidi="pl-PL"/>
        </w:rPr>
        <w:t>a</w:t>
      </w:r>
      <w:r w:rsidRPr="00677DF5">
        <w:rPr>
          <w:rFonts w:ascii="Times New Roman" w:hAnsi="Times New Roman" w:cs="Times New Roman"/>
          <w:b/>
          <w:bCs/>
          <w:color w:val="000000"/>
          <w:sz w:val="24"/>
          <w:szCs w:val="24"/>
          <w:lang w:eastAsia="pl-PL" w:bidi="pl-PL"/>
        </w:rPr>
        <w:t xml:space="preserve"> Naczelnego Rzecznika Odpowiedzialności Zawodowej </w:t>
      </w:r>
    </w:p>
    <w:p w14:paraId="159EF63D" w14:textId="77777777" w:rsidR="00677DF5" w:rsidRDefault="00677DF5" w:rsidP="00677DF5">
      <w:pPr>
        <w:pStyle w:val="Teksttreci0"/>
        <w:shd w:val="clear" w:color="auto" w:fill="auto"/>
        <w:ind w:left="-709" w:firstLine="0"/>
        <w:jc w:val="center"/>
        <w:rPr>
          <w:rFonts w:ascii="Times New Roman" w:hAnsi="Times New Roman" w:cs="Times New Roman"/>
          <w:b/>
          <w:bCs/>
          <w:color w:val="000000"/>
          <w:sz w:val="24"/>
          <w:szCs w:val="24"/>
          <w:lang w:eastAsia="pl-PL" w:bidi="pl-PL"/>
        </w:rPr>
      </w:pPr>
      <w:r w:rsidRPr="00677DF5">
        <w:rPr>
          <w:rFonts w:ascii="Times New Roman" w:hAnsi="Times New Roman" w:cs="Times New Roman"/>
          <w:b/>
          <w:bCs/>
          <w:color w:val="000000"/>
          <w:sz w:val="24"/>
          <w:szCs w:val="24"/>
          <w:lang w:eastAsia="pl-PL" w:bidi="pl-PL"/>
        </w:rPr>
        <w:t xml:space="preserve">z Okręgowymi Rzecznikami Odpowiedzialności Zawodowej </w:t>
      </w:r>
    </w:p>
    <w:p w14:paraId="4563C84F" w14:textId="12D878CC" w:rsidR="00F22A8F" w:rsidRPr="00677DF5" w:rsidRDefault="00677DF5" w:rsidP="00677DF5">
      <w:pPr>
        <w:pStyle w:val="Teksttreci0"/>
        <w:shd w:val="clear" w:color="auto" w:fill="auto"/>
        <w:ind w:left="-709" w:firstLine="0"/>
        <w:jc w:val="center"/>
        <w:rPr>
          <w:rFonts w:ascii="Times New Roman" w:hAnsi="Times New Roman" w:cs="Times New Roman"/>
          <w:b/>
          <w:bCs/>
          <w:color w:val="000000"/>
          <w:sz w:val="24"/>
          <w:szCs w:val="24"/>
          <w:lang w:eastAsia="pl-PL" w:bidi="pl-PL"/>
        </w:rPr>
      </w:pPr>
      <w:r w:rsidRPr="00677DF5">
        <w:rPr>
          <w:rFonts w:ascii="Times New Roman" w:hAnsi="Times New Roman" w:cs="Times New Roman"/>
          <w:b/>
          <w:bCs/>
          <w:color w:val="000000"/>
          <w:sz w:val="24"/>
          <w:szCs w:val="24"/>
          <w:lang w:eastAsia="pl-PL" w:bidi="pl-PL"/>
        </w:rPr>
        <w:t>z wykorzystaniem elektronicznych środków komunikacj</w:t>
      </w:r>
      <w:r>
        <w:rPr>
          <w:rFonts w:ascii="Times New Roman" w:hAnsi="Times New Roman" w:cs="Times New Roman"/>
          <w:b/>
          <w:bCs/>
          <w:color w:val="000000"/>
          <w:sz w:val="24"/>
          <w:szCs w:val="24"/>
          <w:lang w:eastAsia="pl-PL" w:bidi="pl-PL"/>
        </w:rPr>
        <w:t>i</w:t>
      </w:r>
    </w:p>
    <w:p w14:paraId="4ECA34FF" w14:textId="3C6AA1FB" w:rsidR="00677DF5" w:rsidRPr="00677DF5" w:rsidRDefault="00677DF5" w:rsidP="00677DF5">
      <w:pPr>
        <w:pStyle w:val="Teksttreci0"/>
        <w:shd w:val="clear" w:color="auto" w:fill="auto"/>
        <w:ind w:left="-709" w:firstLine="0"/>
        <w:jc w:val="center"/>
        <w:rPr>
          <w:rFonts w:ascii="Times New Roman" w:hAnsi="Times New Roman" w:cs="Times New Roman"/>
          <w:b/>
          <w:bCs/>
          <w:color w:val="000000"/>
          <w:sz w:val="24"/>
          <w:szCs w:val="24"/>
          <w:lang w:eastAsia="pl-PL" w:bidi="pl-PL"/>
        </w:rPr>
      </w:pPr>
      <w:r w:rsidRPr="00677DF5">
        <w:rPr>
          <w:rFonts w:ascii="Times New Roman" w:hAnsi="Times New Roman" w:cs="Times New Roman"/>
          <w:b/>
          <w:bCs/>
          <w:color w:val="000000"/>
          <w:sz w:val="24"/>
          <w:szCs w:val="24"/>
          <w:lang w:eastAsia="pl-PL" w:bidi="pl-PL"/>
        </w:rPr>
        <w:t>20 kwietnia 2023 r.</w:t>
      </w:r>
    </w:p>
    <w:p w14:paraId="7C366C6C" w14:textId="77777777" w:rsidR="00F22A8F" w:rsidRPr="00677DF5" w:rsidRDefault="00F22A8F" w:rsidP="00553D59">
      <w:pPr>
        <w:pStyle w:val="Teksttreci0"/>
        <w:shd w:val="clear" w:color="auto" w:fill="auto"/>
        <w:ind w:firstLine="780"/>
        <w:jc w:val="both"/>
        <w:rPr>
          <w:rFonts w:ascii="Times New Roman" w:hAnsi="Times New Roman" w:cs="Times New Roman"/>
          <w:color w:val="000000"/>
          <w:sz w:val="24"/>
          <w:szCs w:val="24"/>
          <w:lang w:eastAsia="pl-PL" w:bidi="pl-PL"/>
        </w:rPr>
      </w:pPr>
    </w:p>
    <w:p w14:paraId="0F7C5838" w14:textId="5803AE89" w:rsidR="00F22A8F" w:rsidRPr="002F4401" w:rsidRDefault="00677DF5" w:rsidP="00677DF5">
      <w:pPr>
        <w:pStyle w:val="Teksttreci0"/>
        <w:numPr>
          <w:ilvl w:val="0"/>
          <w:numId w:val="2"/>
        </w:numPr>
        <w:shd w:val="clear" w:color="auto" w:fill="auto"/>
        <w:jc w:val="both"/>
        <w:rPr>
          <w:rFonts w:ascii="Times New Roman" w:hAnsi="Times New Roman" w:cs="Times New Roman"/>
          <w:b/>
          <w:bCs/>
          <w:color w:val="000000"/>
          <w:sz w:val="24"/>
          <w:szCs w:val="24"/>
          <w:lang w:eastAsia="pl-PL" w:bidi="pl-PL"/>
        </w:rPr>
      </w:pPr>
      <w:r>
        <w:rPr>
          <w:rFonts w:ascii="Times New Roman" w:hAnsi="Times New Roman" w:cs="Times New Roman"/>
          <w:color w:val="000000"/>
          <w:sz w:val="24"/>
          <w:szCs w:val="24"/>
          <w:lang w:eastAsia="pl-PL" w:bidi="pl-PL"/>
        </w:rPr>
        <w:t xml:space="preserve"> </w:t>
      </w:r>
      <w:r w:rsidRPr="002F4401">
        <w:rPr>
          <w:rFonts w:ascii="Times New Roman" w:hAnsi="Times New Roman" w:cs="Times New Roman"/>
          <w:b/>
          <w:bCs/>
          <w:color w:val="000000"/>
          <w:sz w:val="24"/>
          <w:szCs w:val="24"/>
          <w:lang w:eastAsia="pl-PL" w:bidi="pl-PL"/>
        </w:rPr>
        <w:t>Przewlekłość prowadzonych przez OROZ postępowań.</w:t>
      </w:r>
    </w:p>
    <w:p w14:paraId="11DB4CA1" w14:textId="29A46F5A" w:rsidR="00677DF5" w:rsidRDefault="00677DF5" w:rsidP="00677DF5">
      <w:pPr>
        <w:pStyle w:val="Teksttreci0"/>
        <w:shd w:val="clear" w:color="auto" w:fill="auto"/>
        <w:ind w:left="-791" w:firstLine="0"/>
        <w:jc w:val="both"/>
        <w:rPr>
          <w:rFonts w:ascii="Times New Roman" w:hAnsi="Times New Roman" w:cs="Times New Roman"/>
          <w:color w:val="000000"/>
          <w:sz w:val="24"/>
          <w:szCs w:val="24"/>
          <w:lang w:eastAsia="pl-PL" w:bidi="pl-PL"/>
        </w:rPr>
      </w:pPr>
      <w:r>
        <w:rPr>
          <w:rFonts w:ascii="Times New Roman" w:hAnsi="Times New Roman" w:cs="Times New Roman"/>
          <w:color w:val="000000"/>
          <w:sz w:val="24"/>
          <w:szCs w:val="24"/>
          <w:lang w:eastAsia="pl-PL" w:bidi="pl-PL"/>
        </w:rPr>
        <w:t xml:space="preserve">NROZ przedstawił uczestnikom swoje spostrzeżenia wynikające z analizy wniosków o przedłużenie okresu postępowania wyjaśniającego. Jednym z ważnych powodów wpływających na przewlekłość postępowań są trudności w przesłuchaniu lekarza, którego dotyczy postępowanie lub obwinionego. NROZ zasugerował, że w przypadku uporczywego nie odbierania korespondencji lub nie stawiania się w wyznaczanych terminach </w:t>
      </w:r>
      <w:r w:rsidR="002F4401">
        <w:rPr>
          <w:rFonts w:ascii="Times New Roman" w:hAnsi="Times New Roman" w:cs="Times New Roman"/>
          <w:color w:val="000000"/>
          <w:sz w:val="24"/>
          <w:szCs w:val="24"/>
          <w:lang w:eastAsia="pl-PL" w:bidi="pl-PL"/>
        </w:rPr>
        <w:t xml:space="preserve">należy </w:t>
      </w:r>
      <w:r>
        <w:rPr>
          <w:rFonts w:ascii="Times New Roman" w:hAnsi="Times New Roman" w:cs="Times New Roman"/>
          <w:color w:val="000000"/>
          <w:sz w:val="24"/>
          <w:szCs w:val="24"/>
          <w:lang w:eastAsia="pl-PL" w:bidi="pl-PL"/>
        </w:rPr>
        <w:t xml:space="preserve">np. postanowienie o przedstawianiu zarzutów wysłać </w:t>
      </w:r>
      <w:r w:rsidR="002F4401">
        <w:rPr>
          <w:rFonts w:ascii="Times New Roman" w:hAnsi="Times New Roman" w:cs="Times New Roman"/>
          <w:color w:val="000000"/>
          <w:sz w:val="24"/>
          <w:szCs w:val="24"/>
          <w:lang w:eastAsia="pl-PL" w:bidi="pl-PL"/>
        </w:rPr>
        <w:t xml:space="preserve">pocztą </w:t>
      </w:r>
      <w:r>
        <w:rPr>
          <w:rFonts w:ascii="Times New Roman" w:hAnsi="Times New Roman" w:cs="Times New Roman"/>
          <w:color w:val="000000"/>
          <w:sz w:val="24"/>
          <w:szCs w:val="24"/>
          <w:lang w:eastAsia="pl-PL" w:bidi="pl-PL"/>
        </w:rPr>
        <w:t>na adres figurujący w Centralnym Rejestrze Lekarzy. W takim przypadku nawet nie odebraną korespondencję uważa się za skutecznie doręczoną.</w:t>
      </w:r>
    </w:p>
    <w:p w14:paraId="50D09E51" w14:textId="6CC47D1C" w:rsidR="00677DF5" w:rsidRDefault="00677DF5" w:rsidP="00677DF5">
      <w:pPr>
        <w:pStyle w:val="Teksttreci0"/>
        <w:shd w:val="clear" w:color="auto" w:fill="auto"/>
        <w:ind w:left="-791" w:firstLine="0"/>
        <w:jc w:val="both"/>
        <w:rPr>
          <w:rFonts w:ascii="Times New Roman" w:hAnsi="Times New Roman" w:cs="Times New Roman"/>
          <w:color w:val="000000"/>
          <w:sz w:val="24"/>
          <w:szCs w:val="24"/>
          <w:lang w:eastAsia="pl-PL" w:bidi="pl-PL"/>
        </w:rPr>
      </w:pPr>
      <w:r>
        <w:rPr>
          <w:rFonts w:ascii="Times New Roman" w:hAnsi="Times New Roman" w:cs="Times New Roman"/>
          <w:color w:val="000000"/>
          <w:sz w:val="24"/>
          <w:szCs w:val="24"/>
          <w:lang w:eastAsia="pl-PL" w:bidi="pl-PL"/>
        </w:rPr>
        <w:t xml:space="preserve">OROZ w Białymstoku </w:t>
      </w:r>
      <w:r w:rsidR="00AC6256">
        <w:rPr>
          <w:rFonts w:ascii="Times New Roman" w:hAnsi="Times New Roman" w:cs="Times New Roman"/>
          <w:color w:val="000000"/>
          <w:sz w:val="24"/>
          <w:szCs w:val="24"/>
          <w:lang w:eastAsia="pl-PL" w:bidi="pl-PL"/>
        </w:rPr>
        <w:t xml:space="preserve">zauważyła, że oczekiwanie na opinię biegłego znacznie wydłuża trwanie postępowania. Mec. Marek Szewczyński zaznaczył, że biegłemu można wysłać kserokopie wybranych  dokumentów lub kopię całości akt postępowania. Takie działanie pozwala na przeprowadzanie dalszych czynności procesowych bez czekania na opinię, a także chroni przed ewentualnym zaginięciem tych akt. </w:t>
      </w:r>
    </w:p>
    <w:p w14:paraId="57E96531" w14:textId="70512050" w:rsidR="00677DF5" w:rsidRDefault="00AC6256" w:rsidP="00677DF5">
      <w:pPr>
        <w:pStyle w:val="Teksttreci0"/>
        <w:shd w:val="clear" w:color="auto" w:fill="auto"/>
        <w:ind w:left="-791" w:firstLine="0"/>
        <w:jc w:val="both"/>
        <w:rPr>
          <w:rFonts w:ascii="Times New Roman" w:hAnsi="Times New Roman" w:cs="Times New Roman"/>
          <w:color w:val="000000"/>
          <w:sz w:val="24"/>
          <w:szCs w:val="24"/>
          <w:lang w:eastAsia="pl-PL" w:bidi="pl-PL"/>
        </w:rPr>
      </w:pPr>
      <w:r>
        <w:rPr>
          <w:rFonts w:ascii="Times New Roman" w:hAnsi="Times New Roman" w:cs="Times New Roman"/>
          <w:color w:val="000000"/>
          <w:sz w:val="24"/>
          <w:szCs w:val="24"/>
          <w:lang w:eastAsia="pl-PL" w:bidi="pl-PL"/>
        </w:rPr>
        <w:t>Na marginesie zaznaczono, że coraz więcej skarg wpływających do Rzeczników dotyczy e-zwolnień i e-recept. W ostatnim tygodniu NROZ wysłał do różnych OROZ zawiadomienie z Ministerstwa Zdrowia, które dotyczyło grupy lekarzy wystawiających leki na środki nasenne bez badania pacjentów.</w:t>
      </w:r>
    </w:p>
    <w:p w14:paraId="4F9FB3D1" w14:textId="77777777" w:rsidR="004A1DC7" w:rsidRDefault="004A1DC7" w:rsidP="004A1DC7">
      <w:pPr>
        <w:pStyle w:val="Teksttreci0"/>
        <w:shd w:val="clear" w:color="auto" w:fill="auto"/>
        <w:ind w:left="-791" w:firstLine="0"/>
        <w:jc w:val="both"/>
        <w:rPr>
          <w:rFonts w:ascii="Times New Roman" w:hAnsi="Times New Roman" w:cs="Times New Roman"/>
          <w:color w:val="000000"/>
          <w:sz w:val="24"/>
          <w:szCs w:val="24"/>
          <w:lang w:eastAsia="pl-PL" w:bidi="pl-PL"/>
        </w:rPr>
      </w:pPr>
      <w:r>
        <w:rPr>
          <w:rFonts w:ascii="Times New Roman" w:hAnsi="Times New Roman" w:cs="Times New Roman"/>
          <w:color w:val="000000"/>
          <w:sz w:val="24"/>
          <w:szCs w:val="24"/>
          <w:lang w:eastAsia="pl-PL" w:bidi="pl-PL"/>
        </w:rPr>
        <w:t>Pyt – OROZ w Płocku – co w przypadku, gdy osoba wezwana nie stawia się na przesłuchanie i przedstawia zaświadczenie, że jest w ciąży.</w:t>
      </w:r>
    </w:p>
    <w:p w14:paraId="00D1DE80" w14:textId="3F2E798D" w:rsidR="004A1DC7" w:rsidRPr="00677DF5" w:rsidRDefault="004A1DC7" w:rsidP="004A1DC7">
      <w:pPr>
        <w:pStyle w:val="Teksttreci0"/>
        <w:shd w:val="clear" w:color="auto" w:fill="auto"/>
        <w:ind w:left="-791" w:firstLine="0"/>
        <w:jc w:val="both"/>
        <w:rPr>
          <w:rFonts w:ascii="Times New Roman" w:hAnsi="Times New Roman" w:cs="Times New Roman"/>
          <w:color w:val="000000"/>
          <w:sz w:val="24"/>
          <w:szCs w:val="24"/>
          <w:lang w:eastAsia="pl-PL" w:bidi="pl-PL"/>
        </w:rPr>
      </w:pPr>
      <w:r>
        <w:rPr>
          <w:rFonts w:ascii="Times New Roman" w:hAnsi="Times New Roman" w:cs="Times New Roman"/>
          <w:color w:val="000000"/>
          <w:sz w:val="24"/>
          <w:szCs w:val="24"/>
          <w:lang w:eastAsia="pl-PL" w:bidi="pl-PL"/>
        </w:rPr>
        <w:t>Odp. – zawsze można pojechać do takiej osoby lub wezwać ją do złożenia zeznań/wyjaśnień na piśmie.</w:t>
      </w:r>
      <w:r w:rsidR="002F4401">
        <w:rPr>
          <w:rFonts w:ascii="Times New Roman" w:hAnsi="Times New Roman" w:cs="Times New Roman"/>
          <w:color w:val="000000"/>
          <w:sz w:val="24"/>
          <w:szCs w:val="24"/>
          <w:lang w:eastAsia="pl-PL" w:bidi="pl-PL"/>
        </w:rPr>
        <w:t xml:space="preserve"> W przypadku, gdy dana osoba mieszka na terenie innej OIL można wystąpić do właściwego OSL o przesłuchanie jej w ramach pomocy prawnej.</w:t>
      </w:r>
    </w:p>
    <w:p w14:paraId="197EB452" w14:textId="77777777" w:rsidR="00AC6256" w:rsidRDefault="00AC6256" w:rsidP="00677DF5">
      <w:pPr>
        <w:pStyle w:val="Teksttreci0"/>
        <w:shd w:val="clear" w:color="auto" w:fill="auto"/>
        <w:ind w:left="-791" w:firstLine="0"/>
        <w:jc w:val="both"/>
        <w:rPr>
          <w:rFonts w:ascii="Times New Roman" w:hAnsi="Times New Roman" w:cs="Times New Roman"/>
          <w:color w:val="000000"/>
          <w:sz w:val="24"/>
          <w:szCs w:val="24"/>
          <w:lang w:eastAsia="pl-PL" w:bidi="pl-PL"/>
        </w:rPr>
      </w:pPr>
    </w:p>
    <w:p w14:paraId="22C8F149" w14:textId="0A7EA742" w:rsidR="00677DF5" w:rsidRPr="002F4401" w:rsidRDefault="00AC6256" w:rsidP="00677DF5">
      <w:pPr>
        <w:pStyle w:val="Teksttreci0"/>
        <w:numPr>
          <w:ilvl w:val="0"/>
          <w:numId w:val="2"/>
        </w:numPr>
        <w:shd w:val="clear" w:color="auto" w:fill="auto"/>
        <w:jc w:val="both"/>
        <w:rPr>
          <w:rFonts w:ascii="Times New Roman" w:hAnsi="Times New Roman" w:cs="Times New Roman"/>
          <w:b/>
          <w:bCs/>
          <w:color w:val="000000"/>
          <w:sz w:val="24"/>
          <w:szCs w:val="24"/>
          <w:lang w:eastAsia="pl-PL" w:bidi="pl-PL"/>
        </w:rPr>
      </w:pPr>
      <w:r w:rsidRPr="002F4401">
        <w:rPr>
          <w:rFonts w:ascii="Times New Roman" w:hAnsi="Times New Roman" w:cs="Times New Roman"/>
          <w:b/>
          <w:bCs/>
          <w:color w:val="000000"/>
          <w:sz w:val="24"/>
          <w:szCs w:val="24"/>
          <w:lang w:eastAsia="pl-PL" w:bidi="pl-PL"/>
        </w:rPr>
        <w:t>Korespondencja przesyłana pocztą elektroniczną</w:t>
      </w:r>
    </w:p>
    <w:p w14:paraId="5106BC9D" w14:textId="009AF577" w:rsidR="00AC6256" w:rsidRDefault="00AC6256" w:rsidP="00AC6256">
      <w:pPr>
        <w:pStyle w:val="Teksttreci0"/>
        <w:shd w:val="clear" w:color="auto" w:fill="auto"/>
        <w:ind w:left="-791" w:firstLine="0"/>
        <w:jc w:val="both"/>
        <w:rPr>
          <w:rFonts w:ascii="Times New Roman" w:hAnsi="Times New Roman" w:cs="Times New Roman"/>
          <w:color w:val="000000"/>
          <w:sz w:val="24"/>
          <w:szCs w:val="24"/>
          <w:lang w:eastAsia="pl-PL" w:bidi="pl-PL"/>
        </w:rPr>
      </w:pPr>
      <w:r>
        <w:rPr>
          <w:rFonts w:ascii="Times New Roman" w:hAnsi="Times New Roman" w:cs="Times New Roman"/>
          <w:color w:val="000000"/>
          <w:sz w:val="24"/>
          <w:szCs w:val="24"/>
          <w:lang w:eastAsia="pl-PL" w:bidi="pl-PL"/>
        </w:rPr>
        <w:t>NROZ zaznaczył, że w przypadku zawiadomień o możliwości popełnienia przewinienia zawodowego, które wpływają pocztą elektroniczną, należy w przy</w:t>
      </w:r>
      <w:r w:rsidR="002F4401">
        <w:rPr>
          <w:rFonts w:ascii="Times New Roman" w:hAnsi="Times New Roman" w:cs="Times New Roman"/>
          <w:color w:val="000000"/>
          <w:sz w:val="24"/>
          <w:szCs w:val="24"/>
          <w:lang w:eastAsia="pl-PL" w:bidi="pl-PL"/>
        </w:rPr>
        <w:t>padku</w:t>
      </w:r>
      <w:r>
        <w:rPr>
          <w:rFonts w:ascii="Times New Roman" w:hAnsi="Times New Roman" w:cs="Times New Roman"/>
          <w:color w:val="000000"/>
          <w:sz w:val="24"/>
          <w:szCs w:val="24"/>
          <w:lang w:eastAsia="pl-PL" w:bidi="pl-PL"/>
        </w:rPr>
        <w:t xml:space="preserve"> stwierdzenia, że jest ono wiarygodne – mimo wszystko – wezwać do uzupełnienia braków formalnych np. przez podanie adresu do korespondencji. </w:t>
      </w:r>
      <w:r>
        <w:rPr>
          <w:rFonts w:ascii="Times New Roman" w:hAnsi="Times New Roman" w:cs="Times New Roman"/>
          <w:color w:val="000000"/>
          <w:sz w:val="24"/>
          <w:szCs w:val="24"/>
          <w:lang w:eastAsia="pl-PL" w:bidi="pl-PL"/>
        </w:rPr>
        <w:lastRenderedPageBreak/>
        <w:t xml:space="preserve">Zdarzały się przypadki, gdy OROZ występował do NROZ z wnioskami z art. 65 lub 66 ustawy z dnia 2 grudnia 2009 r. o izbach lekarskich, do których załączona była </w:t>
      </w:r>
      <w:r w:rsidR="004A1DC7">
        <w:rPr>
          <w:rFonts w:ascii="Times New Roman" w:hAnsi="Times New Roman" w:cs="Times New Roman"/>
          <w:color w:val="000000"/>
          <w:sz w:val="24"/>
          <w:szCs w:val="24"/>
          <w:lang w:eastAsia="pl-PL" w:bidi="pl-PL"/>
        </w:rPr>
        <w:t>skarga nie opatrzona własnoręcznym podpisem zawiadamiającego i bez żadnego adresu do korespondencji.</w:t>
      </w:r>
    </w:p>
    <w:p w14:paraId="27BB5F37" w14:textId="77777777" w:rsidR="004A1DC7" w:rsidRDefault="004A1DC7" w:rsidP="00AC6256">
      <w:pPr>
        <w:pStyle w:val="Teksttreci0"/>
        <w:shd w:val="clear" w:color="auto" w:fill="auto"/>
        <w:ind w:left="-791" w:firstLine="0"/>
        <w:jc w:val="both"/>
        <w:rPr>
          <w:rFonts w:ascii="Times New Roman" w:hAnsi="Times New Roman" w:cs="Times New Roman"/>
          <w:color w:val="000000"/>
          <w:sz w:val="24"/>
          <w:szCs w:val="24"/>
          <w:lang w:eastAsia="pl-PL" w:bidi="pl-PL"/>
        </w:rPr>
      </w:pPr>
    </w:p>
    <w:p w14:paraId="76531794" w14:textId="17CDB9C9" w:rsidR="004A1DC7" w:rsidRPr="002F4401" w:rsidRDefault="004A1DC7" w:rsidP="004A1DC7">
      <w:pPr>
        <w:pStyle w:val="Teksttreci0"/>
        <w:numPr>
          <w:ilvl w:val="0"/>
          <w:numId w:val="2"/>
        </w:numPr>
        <w:shd w:val="clear" w:color="auto" w:fill="auto"/>
        <w:jc w:val="both"/>
        <w:rPr>
          <w:rFonts w:ascii="Times New Roman" w:hAnsi="Times New Roman" w:cs="Times New Roman"/>
          <w:b/>
          <w:bCs/>
          <w:color w:val="000000"/>
          <w:sz w:val="24"/>
          <w:szCs w:val="24"/>
          <w:lang w:eastAsia="pl-PL" w:bidi="pl-PL"/>
        </w:rPr>
      </w:pPr>
      <w:r w:rsidRPr="002F4401">
        <w:rPr>
          <w:rFonts w:ascii="Times New Roman" w:hAnsi="Times New Roman" w:cs="Times New Roman"/>
          <w:b/>
          <w:bCs/>
          <w:color w:val="000000"/>
          <w:sz w:val="24"/>
          <w:szCs w:val="24"/>
          <w:lang w:eastAsia="pl-PL" w:bidi="pl-PL"/>
        </w:rPr>
        <w:t>Wybrane sprawy kasacyjne :</w:t>
      </w:r>
    </w:p>
    <w:p w14:paraId="0A68DE1C" w14:textId="6FCC8231" w:rsidR="00553D59" w:rsidRDefault="004A1DC7" w:rsidP="002F4401">
      <w:pPr>
        <w:pStyle w:val="Teksttreci0"/>
        <w:numPr>
          <w:ilvl w:val="0"/>
          <w:numId w:val="3"/>
        </w:numPr>
        <w:shd w:val="clear" w:color="auto" w:fill="auto"/>
        <w:jc w:val="both"/>
        <w:rPr>
          <w:rFonts w:ascii="Times New Roman" w:hAnsi="Times New Roman" w:cs="Times New Roman"/>
          <w:color w:val="000000"/>
          <w:sz w:val="24"/>
          <w:szCs w:val="24"/>
          <w:lang w:eastAsia="pl-PL" w:bidi="pl-PL"/>
        </w:rPr>
      </w:pPr>
      <w:r>
        <w:rPr>
          <w:rFonts w:ascii="Times New Roman" w:hAnsi="Times New Roman" w:cs="Times New Roman"/>
          <w:b/>
          <w:bCs/>
          <w:color w:val="000000"/>
          <w:sz w:val="24"/>
          <w:szCs w:val="24"/>
          <w:lang w:eastAsia="pl-PL" w:bidi="pl-PL"/>
        </w:rPr>
        <w:t xml:space="preserve">Lekarz </w:t>
      </w:r>
      <w:r w:rsidR="00720EA9" w:rsidRPr="00677DF5">
        <w:rPr>
          <w:rFonts w:ascii="Times New Roman" w:hAnsi="Times New Roman" w:cs="Times New Roman"/>
          <w:b/>
          <w:bCs/>
          <w:color w:val="000000"/>
          <w:sz w:val="24"/>
          <w:szCs w:val="24"/>
          <w:lang w:eastAsia="pl-PL" w:bidi="pl-PL"/>
        </w:rPr>
        <w:t xml:space="preserve">JK – </w:t>
      </w:r>
      <w:proofErr w:type="spellStart"/>
      <w:r w:rsidR="00720EA9" w:rsidRPr="00677DF5">
        <w:rPr>
          <w:rFonts w:ascii="Times New Roman" w:hAnsi="Times New Roman" w:cs="Times New Roman"/>
          <w:b/>
          <w:bCs/>
          <w:color w:val="000000"/>
          <w:sz w:val="24"/>
          <w:szCs w:val="24"/>
          <w:lang w:eastAsia="pl-PL" w:bidi="pl-PL"/>
        </w:rPr>
        <w:t>syg</w:t>
      </w:r>
      <w:proofErr w:type="spellEnd"/>
      <w:r w:rsidR="00720EA9" w:rsidRPr="00677DF5">
        <w:rPr>
          <w:rFonts w:ascii="Times New Roman" w:hAnsi="Times New Roman" w:cs="Times New Roman"/>
          <w:b/>
          <w:bCs/>
          <w:color w:val="000000"/>
          <w:sz w:val="24"/>
          <w:szCs w:val="24"/>
          <w:lang w:eastAsia="pl-PL" w:bidi="pl-PL"/>
        </w:rPr>
        <w:t>.</w:t>
      </w:r>
      <w:r>
        <w:rPr>
          <w:rFonts w:ascii="Times New Roman" w:hAnsi="Times New Roman" w:cs="Times New Roman"/>
          <w:b/>
          <w:bCs/>
          <w:color w:val="000000"/>
          <w:sz w:val="24"/>
          <w:szCs w:val="24"/>
          <w:lang w:eastAsia="pl-PL" w:bidi="pl-PL"/>
        </w:rPr>
        <w:t xml:space="preserve"> SN-</w:t>
      </w:r>
      <w:r w:rsidR="00720EA9" w:rsidRPr="00677DF5">
        <w:rPr>
          <w:rFonts w:ascii="Times New Roman" w:hAnsi="Times New Roman" w:cs="Times New Roman"/>
          <w:b/>
          <w:bCs/>
          <w:color w:val="000000"/>
          <w:sz w:val="24"/>
          <w:szCs w:val="24"/>
          <w:lang w:eastAsia="pl-PL" w:bidi="pl-PL"/>
        </w:rPr>
        <w:t xml:space="preserve"> II ZK 107/22</w:t>
      </w:r>
      <w:r w:rsidR="00720EA9" w:rsidRPr="00677DF5">
        <w:rPr>
          <w:rFonts w:ascii="Times New Roman" w:hAnsi="Times New Roman" w:cs="Times New Roman"/>
          <w:color w:val="000000"/>
          <w:sz w:val="24"/>
          <w:szCs w:val="24"/>
          <w:lang w:eastAsia="pl-PL" w:bidi="pl-PL"/>
        </w:rPr>
        <w:t xml:space="preserve"> </w:t>
      </w:r>
      <w:r>
        <w:rPr>
          <w:rFonts w:ascii="Times New Roman" w:hAnsi="Times New Roman" w:cs="Times New Roman"/>
          <w:color w:val="000000"/>
          <w:sz w:val="24"/>
          <w:szCs w:val="24"/>
          <w:lang w:eastAsia="pl-PL" w:bidi="pl-PL"/>
        </w:rPr>
        <w:t>–</w:t>
      </w:r>
      <w:r w:rsidR="00720EA9" w:rsidRPr="00677DF5">
        <w:rPr>
          <w:rFonts w:ascii="Times New Roman" w:hAnsi="Times New Roman" w:cs="Times New Roman"/>
          <w:color w:val="000000"/>
          <w:sz w:val="24"/>
          <w:szCs w:val="24"/>
          <w:lang w:eastAsia="pl-PL" w:bidi="pl-PL"/>
        </w:rPr>
        <w:t xml:space="preserve"> </w:t>
      </w:r>
      <w:r>
        <w:rPr>
          <w:rFonts w:ascii="Times New Roman" w:hAnsi="Times New Roman" w:cs="Times New Roman"/>
          <w:color w:val="000000"/>
          <w:sz w:val="24"/>
          <w:szCs w:val="24"/>
          <w:lang w:eastAsia="pl-PL" w:bidi="pl-PL"/>
        </w:rPr>
        <w:t xml:space="preserve">lekarzowi, który pełnił funkcje kierownicze, zarzucono przyjmowanie korzyści materialnych. </w:t>
      </w:r>
      <w:r w:rsidR="002F4401">
        <w:rPr>
          <w:rFonts w:ascii="Times New Roman" w:hAnsi="Times New Roman" w:cs="Times New Roman"/>
          <w:color w:val="000000"/>
          <w:sz w:val="24"/>
          <w:szCs w:val="24"/>
          <w:lang w:eastAsia="pl-PL" w:bidi="pl-PL"/>
        </w:rPr>
        <w:t xml:space="preserve">Sądy obu instancji uznały tego lekarza winnym. </w:t>
      </w:r>
      <w:r>
        <w:rPr>
          <w:rFonts w:ascii="Times New Roman" w:hAnsi="Times New Roman" w:cs="Times New Roman"/>
          <w:color w:val="000000"/>
          <w:sz w:val="24"/>
          <w:szCs w:val="24"/>
          <w:lang w:eastAsia="pl-PL" w:bidi="pl-PL"/>
        </w:rPr>
        <w:t>Lekarz został także ukarany przez sąd powszechn</w:t>
      </w:r>
      <w:r w:rsidR="002F4401">
        <w:rPr>
          <w:rFonts w:ascii="Times New Roman" w:hAnsi="Times New Roman" w:cs="Times New Roman"/>
          <w:color w:val="000000"/>
          <w:sz w:val="24"/>
          <w:szCs w:val="24"/>
          <w:lang w:eastAsia="pl-PL" w:bidi="pl-PL"/>
        </w:rPr>
        <w:t>y</w:t>
      </w:r>
      <w:r>
        <w:rPr>
          <w:rFonts w:ascii="Times New Roman" w:hAnsi="Times New Roman" w:cs="Times New Roman"/>
          <w:color w:val="000000"/>
          <w:sz w:val="24"/>
          <w:szCs w:val="24"/>
          <w:lang w:eastAsia="pl-PL" w:bidi="pl-PL"/>
        </w:rPr>
        <w:t xml:space="preserve">. </w:t>
      </w:r>
      <w:r w:rsidR="002F4401">
        <w:rPr>
          <w:rFonts w:ascii="Times New Roman" w:hAnsi="Times New Roman" w:cs="Times New Roman"/>
          <w:color w:val="000000"/>
          <w:sz w:val="24"/>
          <w:szCs w:val="24"/>
          <w:lang w:eastAsia="pl-PL" w:bidi="pl-PL"/>
        </w:rPr>
        <w:t>Kasację złożył obrońca. Podnosił on</w:t>
      </w:r>
      <w:r>
        <w:rPr>
          <w:rFonts w:ascii="Times New Roman" w:hAnsi="Times New Roman" w:cs="Times New Roman"/>
          <w:color w:val="000000"/>
          <w:sz w:val="24"/>
          <w:szCs w:val="24"/>
          <w:lang w:eastAsia="pl-PL" w:bidi="pl-PL"/>
        </w:rPr>
        <w:t>, że pełnienie funkcji kierowniczych nie łączy się bezpośrednio z wykonywaniem zawodu lekarza, a wyrok, który zapadł w sądzie karnym nie powinien być przenoszony na grunt odpowiedzialności zawodowej. Sąd Najwyższy stwierdził, że z</w:t>
      </w:r>
      <w:r w:rsidR="00720EA9" w:rsidRPr="00677DF5">
        <w:rPr>
          <w:rFonts w:ascii="Times New Roman" w:hAnsi="Times New Roman" w:cs="Times New Roman"/>
          <w:color w:val="000000"/>
          <w:sz w:val="24"/>
          <w:szCs w:val="24"/>
          <w:lang w:eastAsia="pl-PL" w:bidi="pl-PL"/>
        </w:rPr>
        <w:t xml:space="preserve">arzut </w:t>
      </w:r>
      <w:r>
        <w:rPr>
          <w:rFonts w:ascii="Times New Roman" w:hAnsi="Times New Roman" w:cs="Times New Roman"/>
          <w:color w:val="000000"/>
          <w:sz w:val="24"/>
          <w:szCs w:val="24"/>
          <w:lang w:eastAsia="pl-PL" w:bidi="pl-PL"/>
        </w:rPr>
        <w:t xml:space="preserve">obrońców </w:t>
      </w:r>
      <w:r w:rsidR="00720EA9" w:rsidRPr="00677DF5">
        <w:rPr>
          <w:rFonts w:ascii="Times New Roman" w:hAnsi="Times New Roman" w:cs="Times New Roman"/>
          <w:color w:val="000000"/>
          <w:sz w:val="24"/>
          <w:szCs w:val="24"/>
          <w:lang w:eastAsia="pl-PL" w:bidi="pl-PL"/>
        </w:rPr>
        <w:t>nie jest zasadny, gdyż wyrok k</w:t>
      </w:r>
      <w:r>
        <w:rPr>
          <w:rFonts w:ascii="Times New Roman" w:hAnsi="Times New Roman" w:cs="Times New Roman"/>
          <w:color w:val="000000"/>
          <w:sz w:val="24"/>
          <w:szCs w:val="24"/>
          <w:lang w:eastAsia="pl-PL" w:bidi="pl-PL"/>
        </w:rPr>
        <w:t>arn</w:t>
      </w:r>
      <w:r w:rsidR="00720EA9" w:rsidRPr="00677DF5">
        <w:rPr>
          <w:rFonts w:ascii="Times New Roman" w:hAnsi="Times New Roman" w:cs="Times New Roman"/>
          <w:color w:val="000000"/>
          <w:sz w:val="24"/>
          <w:szCs w:val="24"/>
          <w:lang w:eastAsia="pl-PL" w:bidi="pl-PL"/>
        </w:rPr>
        <w:t>y łączy się z działalnością lekarską obwinionego i wprost przenosi się na odpowiedzialność dyscyplinarną obwinionego.</w:t>
      </w:r>
      <w:r w:rsidR="00553D59" w:rsidRPr="00677DF5">
        <w:rPr>
          <w:rFonts w:ascii="Times New Roman" w:hAnsi="Times New Roman" w:cs="Times New Roman"/>
          <w:color w:val="000000"/>
          <w:sz w:val="24"/>
          <w:szCs w:val="24"/>
          <w:lang w:eastAsia="pl-PL" w:bidi="pl-PL"/>
        </w:rPr>
        <w:t xml:space="preserve"> Podstawą </w:t>
      </w:r>
      <w:r>
        <w:rPr>
          <w:rFonts w:ascii="Times New Roman" w:hAnsi="Times New Roman" w:cs="Times New Roman"/>
          <w:color w:val="000000"/>
          <w:sz w:val="24"/>
          <w:szCs w:val="24"/>
          <w:lang w:eastAsia="pl-PL" w:bidi="pl-PL"/>
        </w:rPr>
        <w:t xml:space="preserve">takiej </w:t>
      </w:r>
      <w:r w:rsidR="00553D59" w:rsidRPr="00677DF5">
        <w:rPr>
          <w:rFonts w:ascii="Times New Roman" w:hAnsi="Times New Roman" w:cs="Times New Roman"/>
          <w:color w:val="000000"/>
          <w:sz w:val="24"/>
          <w:szCs w:val="24"/>
          <w:lang w:eastAsia="pl-PL" w:bidi="pl-PL"/>
        </w:rPr>
        <w:t>odpowiedzialności jest art. 1 ust. 3 Kodeksu Etyki Lekarskiej, stanowiący, że naruszeniem godności zawodu jest każde postępowanie lekarza, które podważa zaufanie do zawodu. To, że Sąd karny orzekł wobec skarżącego określony zakaz, który nie został wpisany do rejestru (wyrok WSA w z 22 maja 2019 r., II SA/Po 1150/18), nie oznacza, że przestępstwo, za które został skazany nie narusza zasad etyki lekarza. Przestępstwo bezpośrednio wypełnia hipotezę art. 1 ust. 3 Kodeksu Etyki Lekarskiej.</w:t>
      </w:r>
      <w:r w:rsidR="006D4CCF">
        <w:rPr>
          <w:rFonts w:ascii="Times New Roman" w:hAnsi="Times New Roman" w:cs="Times New Roman"/>
          <w:color w:val="000000"/>
          <w:sz w:val="24"/>
          <w:szCs w:val="24"/>
          <w:lang w:eastAsia="pl-PL" w:bidi="pl-PL"/>
        </w:rPr>
        <w:t xml:space="preserve"> Kasację oddalono</w:t>
      </w:r>
      <w:r w:rsidR="002F4401">
        <w:rPr>
          <w:rFonts w:ascii="Times New Roman" w:hAnsi="Times New Roman" w:cs="Times New Roman"/>
          <w:color w:val="000000"/>
          <w:sz w:val="24"/>
          <w:szCs w:val="24"/>
          <w:lang w:eastAsia="pl-PL" w:bidi="pl-PL"/>
        </w:rPr>
        <w:t>.</w:t>
      </w:r>
    </w:p>
    <w:p w14:paraId="148EF761" w14:textId="4B8FF900" w:rsidR="004A1DC7" w:rsidRPr="00677DF5" w:rsidRDefault="004A1DC7" w:rsidP="004A1DC7">
      <w:pPr>
        <w:pStyle w:val="Teksttreci0"/>
        <w:numPr>
          <w:ilvl w:val="0"/>
          <w:numId w:val="3"/>
        </w:numPr>
        <w:shd w:val="clear" w:color="auto" w:fill="auto"/>
        <w:jc w:val="both"/>
        <w:rPr>
          <w:rFonts w:ascii="Times New Roman" w:hAnsi="Times New Roman" w:cs="Times New Roman"/>
          <w:b/>
          <w:bCs/>
          <w:sz w:val="24"/>
          <w:szCs w:val="24"/>
        </w:rPr>
      </w:pPr>
      <w:r>
        <w:rPr>
          <w:rFonts w:ascii="Times New Roman" w:hAnsi="Times New Roman" w:cs="Times New Roman"/>
          <w:b/>
          <w:bCs/>
          <w:color w:val="000000"/>
          <w:sz w:val="24"/>
          <w:szCs w:val="24"/>
          <w:lang w:eastAsia="pl-PL" w:bidi="pl-PL"/>
        </w:rPr>
        <w:t xml:space="preserve">Lekarz </w:t>
      </w:r>
      <w:r w:rsidRPr="00677DF5">
        <w:rPr>
          <w:rFonts w:ascii="Times New Roman" w:hAnsi="Times New Roman" w:cs="Times New Roman"/>
          <w:b/>
          <w:bCs/>
          <w:color w:val="000000"/>
          <w:sz w:val="24"/>
          <w:szCs w:val="24"/>
          <w:lang w:eastAsia="pl-PL" w:bidi="pl-PL"/>
        </w:rPr>
        <w:t xml:space="preserve">PD </w:t>
      </w:r>
      <w:r>
        <w:rPr>
          <w:rFonts w:ascii="Times New Roman" w:hAnsi="Times New Roman" w:cs="Times New Roman"/>
          <w:b/>
          <w:bCs/>
          <w:color w:val="000000"/>
          <w:sz w:val="24"/>
          <w:szCs w:val="24"/>
          <w:lang w:eastAsia="pl-PL" w:bidi="pl-PL"/>
        </w:rPr>
        <w:t xml:space="preserve">– </w:t>
      </w:r>
      <w:proofErr w:type="spellStart"/>
      <w:r>
        <w:rPr>
          <w:rFonts w:ascii="Times New Roman" w:hAnsi="Times New Roman" w:cs="Times New Roman"/>
          <w:b/>
          <w:bCs/>
          <w:color w:val="000000"/>
          <w:sz w:val="24"/>
          <w:szCs w:val="24"/>
          <w:lang w:eastAsia="pl-PL" w:bidi="pl-PL"/>
        </w:rPr>
        <w:t>syg</w:t>
      </w:r>
      <w:proofErr w:type="spellEnd"/>
      <w:r>
        <w:rPr>
          <w:rFonts w:ascii="Times New Roman" w:hAnsi="Times New Roman" w:cs="Times New Roman"/>
          <w:b/>
          <w:bCs/>
          <w:color w:val="000000"/>
          <w:sz w:val="24"/>
          <w:szCs w:val="24"/>
          <w:lang w:eastAsia="pl-PL" w:bidi="pl-PL"/>
        </w:rPr>
        <w:t>. SN -</w:t>
      </w:r>
      <w:r w:rsidRPr="00677DF5">
        <w:rPr>
          <w:rFonts w:ascii="Times New Roman" w:hAnsi="Times New Roman" w:cs="Times New Roman"/>
          <w:b/>
          <w:bCs/>
          <w:color w:val="000000"/>
          <w:sz w:val="24"/>
          <w:szCs w:val="24"/>
          <w:lang w:eastAsia="pl-PL" w:bidi="pl-PL"/>
        </w:rPr>
        <w:t>I KK 160/22</w:t>
      </w:r>
    </w:p>
    <w:p w14:paraId="1965ABF8" w14:textId="09B95BA1" w:rsidR="001E07FF" w:rsidRDefault="00D30BDF" w:rsidP="00D30BDF">
      <w:pPr>
        <w:pStyle w:val="Teksttreci0"/>
        <w:shd w:val="clear" w:color="auto" w:fill="auto"/>
        <w:ind w:left="-709" w:firstLine="0"/>
        <w:jc w:val="both"/>
        <w:rPr>
          <w:rFonts w:ascii="Times New Roman" w:hAnsi="Times New Roman" w:cs="Times New Roman"/>
          <w:sz w:val="24"/>
          <w:szCs w:val="24"/>
        </w:rPr>
      </w:pPr>
      <w:r>
        <w:rPr>
          <w:rFonts w:ascii="Times New Roman" w:hAnsi="Times New Roman" w:cs="Times New Roman"/>
          <w:color w:val="000000"/>
          <w:sz w:val="24"/>
          <w:szCs w:val="24"/>
          <w:lang w:eastAsia="pl-PL" w:bidi="pl-PL"/>
        </w:rPr>
        <w:t xml:space="preserve">Lekarzowi neurochirurgowi zarzucono brak staranności przy diagnostyce złamania kręgu C7 kręgosłupa. OSL uniewinnił lekarza, NSL </w:t>
      </w:r>
      <w:r w:rsidR="002F4401">
        <w:rPr>
          <w:rFonts w:ascii="Times New Roman" w:hAnsi="Times New Roman" w:cs="Times New Roman"/>
          <w:color w:val="000000"/>
          <w:sz w:val="24"/>
          <w:szCs w:val="24"/>
          <w:lang w:eastAsia="pl-PL" w:bidi="pl-PL"/>
        </w:rPr>
        <w:t>-</w:t>
      </w:r>
      <w:r>
        <w:rPr>
          <w:rFonts w:ascii="Times New Roman" w:hAnsi="Times New Roman" w:cs="Times New Roman"/>
          <w:color w:val="000000"/>
          <w:sz w:val="24"/>
          <w:szCs w:val="24"/>
          <w:lang w:eastAsia="pl-PL" w:bidi="pl-PL"/>
        </w:rPr>
        <w:t>orzeczenie I instancji utrzymał w mocy. Kasację złożył pełnomocnik pokrzywdzonego. SN stwierdził, że</w:t>
      </w:r>
      <w:r w:rsidR="001E07FF" w:rsidRPr="00677DF5">
        <w:rPr>
          <w:rFonts w:ascii="Times New Roman" w:hAnsi="Times New Roman" w:cs="Times New Roman"/>
          <w:sz w:val="24"/>
          <w:szCs w:val="24"/>
        </w:rPr>
        <w:t xml:space="preserve"> przedstawiony w kasacji zarzut i argument </w:t>
      </w:r>
      <w:r w:rsidR="001E07FF" w:rsidRPr="00677DF5">
        <w:rPr>
          <w:rFonts w:ascii="Times New Roman" w:hAnsi="Times New Roman" w:cs="Times New Roman"/>
          <w:sz w:val="24"/>
          <w:szCs w:val="24"/>
        </w:rPr>
        <w:br/>
        <w:t xml:space="preserve">są w istocie obszernie rozbudowaną próbą powtórzenia zwykłego postępowania odwoławczego. </w:t>
      </w:r>
      <w:r w:rsidR="002F4401">
        <w:rPr>
          <w:rFonts w:ascii="Times New Roman" w:hAnsi="Times New Roman" w:cs="Times New Roman"/>
          <w:sz w:val="24"/>
          <w:szCs w:val="24"/>
        </w:rPr>
        <w:t xml:space="preserve">Nazwanie </w:t>
      </w:r>
      <w:r w:rsidR="001E07FF" w:rsidRPr="00677DF5">
        <w:rPr>
          <w:rFonts w:ascii="Times New Roman" w:hAnsi="Times New Roman" w:cs="Times New Roman"/>
          <w:sz w:val="24"/>
          <w:szCs w:val="24"/>
        </w:rPr>
        <w:t>w kasacji „naruszeniem prawa” wadliwości polegającej na przyjęciu za podstawę wyroku błędnych ustaleń faktycznych</w:t>
      </w:r>
      <w:r w:rsidR="002F4401">
        <w:rPr>
          <w:rFonts w:ascii="Times New Roman" w:hAnsi="Times New Roman" w:cs="Times New Roman"/>
          <w:sz w:val="24"/>
          <w:szCs w:val="24"/>
        </w:rPr>
        <w:t xml:space="preserve"> było niewłaściwe</w:t>
      </w:r>
      <w:r>
        <w:rPr>
          <w:rFonts w:ascii="Times New Roman" w:hAnsi="Times New Roman" w:cs="Times New Roman"/>
          <w:sz w:val="24"/>
          <w:szCs w:val="24"/>
        </w:rPr>
        <w:t xml:space="preserve">. SN orzekający </w:t>
      </w:r>
      <w:r w:rsidR="001E07FF" w:rsidRPr="00677DF5">
        <w:rPr>
          <w:rFonts w:ascii="Times New Roman" w:hAnsi="Times New Roman" w:cs="Times New Roman"/>
          <w:sz w:val="24"/>
          <w:szCs w:val="24"/>
        </w:rPr>
        <w:t>w postępowaniu kasacyjnym,</w:t>
      </w:r>
      <w:r>
        <w:rPr>
          <w:rFonts w:ascii="Times New Roman" w:hAnsi="Times New Roman" w:cs="Times New Roman"/>
          <w:sz w:val="24"/>
          <w:szCs w:val="24"/>
        </w:rPr>
        <w:t xml:space="preserve"> nie jest uprawniony</w:t>
      </w:r>
      <w:r w:rsidR="001E07FF" w:rsidRPr="00677DF5">
        <w:rPr>
          <w:rFonts w:ascii="Times New Roman" w:hAnsi="Times New Roman" w:cs="Times New Roman"/>
          <w:sz w:val="24"/>
          <w:szCs w:val="24"/>
        </w:rPr>
        <w:t xml:space="preserve"> do badania, pod pozorem rozpoznawania „zarzutu naruszenia prawa” zasadności poczynionych w sprawie ustaleń faktycznych. Wartościowanie (ocena) zgromadzonych dowodów, dla dokonania ustaleń faktycznych, należy wyłącznie do sądu orzekającego mającego, co do zasady, z tymi dowodami bezpośredni kontakt, którego przekonanie opiera się na całokształcie okoliczności ujawnionych w toku rozprawy. Oczywiście ocena ta musi uwzględniać zasady logiki, wskazania wiedzy oraz doświadczenia życiowego.</w:t>
      </w:r>
      <w:r w:rsidR="006D4CCF">
        <w:rPr>
          <w:rFonts w:ascii="Times New Roman" w:hAnsi="Times New Roman" w:cs="Times New Roman"/>
          <w:sz w:val="24"/>
          <w:szCs w:val="24"/>
        </w:rPr>
        <w:t xml:space="preserve"> Kasację oddalono jako oczywiście bezzasadną.</w:t>
      </w:r>
    </w:p>
    <w:p w14:paraId="2AB11638" w14:textId="6D21425E" w:rsidR="00D30BDF" w:rsidRPr="006D4CCF" w:rsidRDefault="00D30BDF" w:rsidP="00D30BDF">
      <w:pPr>
        <w:pStyle w:val="Teksttreci0"/>
        <w:numPr>
          <w:ilvl w:val="0"/>
          <w:numId w:val="3"/>
        </w:numPr>
        <w:shd w:val="clear" w:color="auto" w:fill="auto"/>
        <w:jc w:val="both"/>
        <w:rPr>
          <w:rFonts w:ascii="Times New Roman" w:hAnsi="Times New Roman" w:cs="Times New Roman"/>
          <w:b/>
          <w:bCs/>
          <w:color w:val="000000"/>
          <w:sz w:val="24"/>
          <w:szCs w:val="24"/>
          <w:lang w:eastAsia="pl-PL" w:bidi="pl-PL"/>
        </w:rPr>
      </w:pPr>
      <w:r w:rsidRPr="00D30BDF">
        <w:rPr>
          <w:rFonts w:ascii="Times New Roman" w:hAnsi="Times New Roman" w:cs="Times New Roman"/>
          <w:b/>
          <w:bCs/>
          <w:sz w:val="24"/>
          <w:szCs w:val="24"/>
        </w:rPr>
        <w:lastRenderedPageBreak/>
        <w:t>Lekarz D.K-L – sygn.. SN – I KK 34/22</w:t>
      </w:r>
    </w:p>
    <w:p w14:paraId="13D606AC" w14:textId="2B51E096" w:rsidR="006D4CCF" w:rsidRPr="006D4CCF" w:rsidRDefault="006D4CCF" w:rsidP="006D4CCF">
      <w:pPr>
        <w:pStyle w:val="Teksttreci0"/>
        <w:shd w:val="clear" w:color="auto" w:fill="auto"/>
        <w:ind w:left="-709" w:firstLine="0"/>
        <w:jc w:val="both"/>
        <w:rPr>
          <w:rFonts w:ascii="Times New Roman" w:hAnsi="Times New Roman" w:cs="Times New Roman"/>
          <w:color w:val="000000"/>
          <w:sz w:val="24"/>
          <w:szCs w:val="24"/>
          <w:lang w:eastAsia="pl-PL" w:bidi="pl-PL"/>
        </w:rPr>
      </w:pPr>
      <w:r>
        <w:rPr>
          <w:rFonts w:ascii="Times New Roman" w:hAnsi="Times New Roman" w:cs="Times New Roman"/>
          <w:color w:val="000000"/>
          <w:sz w:val="24"/>
          <w:szCs w:val="24"/>
          <w:lang w:eastAsia="pl-PL" w:bidi="pl-PL"/>
        </w:rPr>
        <w:t>Lekarka została ukarana przez Sąd obu instancji za</w:t>
      </w:r>
      <w:r w:rsidRPr="006D4CCF">
        <w:rPr>
          <w:rFonts w:ascii="Times New Roman" w:hAnsi="Times New Roman" w:cs="Times New Roman"/>
          <w:color w:val="000000"/>
          <w:sz w:val="24"/>
          <w:szCs w:val="24"/>
          <w:lang w:eastAsia="pl-PL" w:bidi="pl-PL"/>
        </w:rPr>
        <w:t xml:space="preserve"> </w:t>
      </w:r>
      <w:r>
        <w:rPr>
          <w:rFonts w:ascii="Times New Roman" w:hAnsi="Times New Roman" w:cs="Times New Roman"/>
          <w:color w:val="000000"/>
          <w:sz w:val="24"/>
          <w:szCs w:val="24"/>
          <w:lang w:eastAsia="pl-PL" w:bidi="pl-PL"/>
        </w:rPr>
        <w:t xml:space="preserve">posługiwanie się nienależnymi tytułami specjalisty na znanym portalu w </w:t>
      </w:r>
      <w:proofErr w:type="spellStart"/>
      <w:r>
        <w:rPr>
          <w:rFonts w:ascii="Times New Roman" w:hAnsi="Times New Roman" w:cs="Times New Roman"/>
          <w:color w:val="000000"/>
          <w:sz w:val="24"/>
          <w:szCs w:val="24"/>
          <w:lang w:eastAsia="pl-PL" w:bidi="pl-PL"/>
        </w:rPr>
        <w:t>internecie</w:t>
      </w:r>
      <w:proofErr w:type="spellEnd"/>
      <w:r>
        <w:rPr>
          <w:rFonts w:ascii="Times New Roman" w:hAnsi="Times New Roman" w:cs="Times New Roman"/>
          <w:color w:val="000000"/>
          <w:sz w:val="24"/>
          <w:szCs w:val="24"/>
          <w:lang w:eastAsia="pl-PL" w:bidi="pl-PL"/>
        </w:rPr>
        <w:t>. Kasację złożył obrońca.</w:t>
      </w:r>
    </w:p>
    <w:p w14:paraId="10E4B708" w14:textId="7D2C1A2B" w:rsidR="002F4401" w:rsidRDefault="006D4CCF" w:rsidP="002F4401">
      <w:pPr>
        <w:pStyle w:val="Teksttreci0"/>
        <w:shd w:val="clear" w:color="auto" w:fill="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SN stwierdził, że </w:t>
      </w:r>
      <w:r w:rsidR="00950159" w:rsidRPr="00677DF5">
        <w:rPr>
          <w:rFonts w:ascii="Times New Roman" w:hAnsi="Times New Roman" w:cs="Times New Roman"/>
          <w:sz w:val="24"/>
          <w:szCs w:val="24"/>
        </w:rPr>
        <w:t xml:space="preserve">wpisanie pod swoim nazwiskiem sformułowań „alergolog, specjalista medycyny naturalnej, diagnostyk” i to niezależnie w jakiej rubryce, w sposób jednoznaczny i nie budzący wątpliwości, wskazuje, iż lekarz posiada właśnie te, określone specjalizacje. </w:t>
      </w:r>
      <w:r>
        <w:rPr>
          <w:rFonts w:ascii="Times New Roman" w:hAnsi="Times New Roman" w:cs="Times New Roman"/>
          <w:sz w:val="24"/>
          <w:szCs w:val="24"/>
        </w:rPr>
        <w:t xml:space="preserve">Lekarz, którego nazwisko widnieje na portalu </w:t>
      </w:r>
      <w:r w:rsidR="00950159" w:rsidRPr="00677DF5">
        <w:rPr>
          <w:rFonts w:ascii="Times New Roman" w:hAnsi="Times New Roman" w:cs="Times New Roman"/>
          <w:sz w:val="24"/>
          <w:szCs w:val="24"/>
        </w:rPr>
        <w:t xml:space="preserve">ma możliwość, prawo i obowiązek zweryfikować brzmienie i zapisy </w:t>
      </w:r>
      <w:r>
        <w:rPr>
          <w:rFonts w:ascii="Times New Roman" w:hAnsi="Times New Roman" w:cs="Times New Roman"/>
          <w:sz w:val="24"/>
          <w:szCs w:val="24"/>
        </w:rPr>
        <w:t xml:space="preserve"> dotyczące własnego </w:t>
      </w:r>
      <w:r w:rsidR="00950159" w:rsidRPr="00677DF5">
        <w:rPr>
          <w:rFonts w:ascii="Times New Roman" w:hAnsi="Times New Roman" w:cs="Times New Roman"/>
          <w:sz w:val="24"/>
          <w:szCs w:val="24"/>
        </w:rPr>
        <w:t>konta</w:t>
      </w:r>
      <w:r>
        <w:rPr>
          <w:rFonts w:ascii="Times New Roman" w:hAnsi="Times New Roman" w:cs="Times New Roman"/>
          <w:sz w:val="24"/>
          <w:szCs w:val="24"/>
        </w:rPr>
        <w:t xml:space="preserve"> na portalu</w:t>
      </w:r>
      <w:r w:rsidR="00950159" w:rsidRPr="00677DF5">
        <w:rPr>
          <w:rFonts w:ascii="Times New Roman" w:hAnsi="Times New Roman" w:cs="Times New Roman"/>
          <w:sz w:val="24"/>
          <w:szCs w:val="24"/>
        </w:rPr>
        <w:t>, w momencie</w:t>
      </w:r>
      <w:r>
        <w:rPr>
          <w:rFonts w:ascii="Times New Roman" w:hAnsi="Times New Roman" w:cs="Times New Roman"/>
          <w:sz w:val="24"/>
          <w:szCs w:val="24"/>
        </w:rPr>
        <w:t>, gdy stwierdzi</w:t>
      </w:r>
      <w:r w:rsidR="00950159" w:rsidRPr="00677DF5">
        <w:rPr>
          <w:rFonts w:ascii="Times New Roman" w:hAnsi="Times New Roman" w:cs="Times New Roman"/>
          <w:sz w:val="24"/>
          <w:szCs w:val="24"/>
        </w:rPr>
        <w:t xml:space="preserve">, iż widniejące na nim treści mogą sugerować pacjentom, że posiada ona specjalizację z alergologii, „medycyny naturalnej” i diagnostyki. </w:t>
      </w:r>
      <w:r w:rsidR="002F4401">
        <w:rPr>
          <w:rFonts w:ascii="Times New Roman" w:hAnsi="Times New Roman" w:cs="Times New Roman"/>
          <w:sz w:val="24"/>
          <w:szCs w:val="24"/>
        </w:rPr>
        <w:t>L</w:t>
      </w:r>
      <w:r>
        <w:rPr>
          <w:rFonts w:ascii="Times New Roman" w:hAnsi="Times New Roman" w:cs="Times New Roman"/>
          <w:sz w:val="24"/>
          <w:szCs w:val="24"/>
        </w:rPr>
        <w:t>ekarz</w:t>
      </w:r>
      <w:r w:rsidR="002F4401">
        <w:rPr>
          <w:rFonts w:ascii="Times New Roman" w:hAnsi="Times New Roman" w:cs="Times New Roman"/>
          <w:sz w:val="24"/>
          <w:szCs w:val="24"/>
        </w:rPr>
        <w:t xml:space="preserve"> mając świadomość</w:t>
      </w:r>
      <w:r w:rsidR="00950159" w:rsidRPr="00677DF5">
        <w:rPr>
          <w:rFonts w:ascii="Times New Roman" w:hAnsi="Times New Roman" w:cs="Times New Roman"/>
          <w:sz w:val="24"/>
          <w:szCs w:val="24"/>
        </w:rPr>
        <w:t xml:space="preserve">, iż zawartość </w:t>
      </w:r>
      <w:r>
        <w:rPr>
          <w:rFonts w:ascii="Times New Roman" w:hAnsi="Times New Roman" w:cs="Times New Roman"/>
          <w:sz w:val="24"/>
          <w:szCs w:val="24"/>
        </w:rPr>
        <w:t xml:space="preserve">własnego </w:t>
      </w:r>
      <w:r w:rsidR="00950159" w:rsidRPr="00677DF5">
        <w:rPr>
          <w:rFonts w:ascii="Times New Roman" w:hAnsi="Times New Roman" w:cs="Times New Roman"/>
          <w:sz w:val="24"/>
          <w:szCs w:val="24"/>
        </w:rPr>
        <w:t>profilu może wprowadzać w błąd pacjentów- win</w:t>
      </w:r>
      <w:r>
        <w:rPr>
          <w:rFonts w:ascii="Times New Roman" w:hAnsi="Times New Roman" w:cs="Times New Roman"/>
          <w:sz w:val="24"/>
          <w:szCs w:val="24"/>
        </w:rPr>
        <w:t>ien</w:t>
      </w:r>
      <w:r w:rsidR="00950159" w:rsidRPr="00677DF5">
        <w:rPr>
          <w:rFonts w:ascii="Times New Roman" w:hAnsi="Times New Roman" w:cs="Times New Roman"/>
          <w:sz w:val="24"/>
          <w:szCs w:val="24"/>
        </w:rPr>
        <w:t xml:space="preserve"> spowodować, że</w:t>
      </w:r>
      <w:r w:rsidR="002F4401">
        <w:rPr>
          <w:rFonts w:ascii="Times New Roman" w:hAnsi="Times New Roman" w:cs="Times New Roman"/>
          <w:sz w:val="24"/>
          <w:szCs w:val="24"/>
        </w:rPr>
        <w:t>by</w:t>
      </w:r>
      <w:r w:rsidR="00950159" w:rsidRPr="00677DF5">
        <w:rPr>
          <w:rFonts w:ascii="Times New Roman" w:hAnsi="Times New Roman" w:cs="Times New Roman"/>
          <w:sz w:val="24"/>
          <w:szCs w:val="24"/>
        </w:rPr>
        <w:t xml:space="preserve"> zapisy te </w:t>
      </w:r>
      <w:r>
        <w:rPr>
          <w:rFonts w:ascii="Times New Roman" w:hAnsi="Times New Roman" w:cs="Times New Roman"/>
          <w:sz w:val="24"/>
          <w:szCs w:val="24"/>
        </w:rPr>
        <w:t xml:space="preserve">zostały natychmiast </w:t>
      </w:r>
      <w:r w:rsidR="00950159" w:rsidRPr="00677DF5">
        <w:rPr>
          <w:rFonts w:ascii="Times New Roman" w:hAnsi="Times New Roman" w:cs="Times New Roman"/>
          <w:sz w:val="24"/>
          <w:szCs w:val="24"/>
        </w:rPr>
        <w:t>zmodyf</w:t>
      </w:r>
      <w:r>
        <w:rPr>
          <w:rFonts w:ascii="Times New Roman" w:hAnsi="Times New Roman" w:cs="Times New Roman"/>
          <w:sz w:val="24"/>
          <w:szCs w:val="24"/>
        </w:rPr>
        <w:t>ikowane. SN podkreślił</w:t>
      </w:r>
      <w:r w:rsidR="00950159" w:rsidRPr="006D4CCF">
        <w:rPr>
          <w:rFonts w:ascii="Times New Roman" w:hAnsi="Times New Roman" w:cs="Times New Roman"/>
          <w:sz w:val="24"/>
          <w:szCs w:val="24"/>
        </w:rPr>
        <w:t xml:space="preserve">, iż to, że zapisy zawierające takie określenia były rezultatem wewnętrznej konstrukcji czy funkcji portalu, nie oznacza, że końcowy rezultat wypełniania rubryk skutkujących zapisem jednoznacznie sugerującym pacjentowi o posiadanych przez siebie specjalizacjach (których w rzeczywistości nie posiada) - nie powinien być przez tego lekarza skorygowany. </w:t>
      </w:r>
      <w:r w:rsidR="002F4401">
        <w:rPr>
          <w:rFonts w:ascii="Times New Roman" w:hAnsi="Times New Roman" w:cs="Times New Roman"/>
          <w:sz w:val="24"/>
          <w:szCs w:val="24"/>
        </w:rPr>
        <w:t>Kasację oddalono jako oczywiście bezzasadną.</w:t>
      </w:r>
    </w:p>
    <w:p w14:paraId="5901FC86" w14:textId="77777777" w:rsidR="00AF5095" w:rsidRDefault="00AF5095" w:rsidP="002F4401">
      <w:pPr>
        <w:pStyle w:val="Teksttreci0"/>
        <w:shd w:val="clear" w:color="auto" w:fill="auto"/>
        <w:ind w:left="-709" w:firstLine="0"/>
        <w:jc w:val="both"/>
        <w:rPr>
          <w:rFonts w:ascii="Times New Roman" w:hAnsi="Times New Roman" w:cs="Times New Roman"/>
          <w:sz w:val="24"/>
          <w:szCs w:val="24"/>
        </w:rPr>
      </w:pPr>
    </w:p>
    <w:p w14:paraId="36371B4D" w14:textId="269CF569" w:rsidR="00AF5095" w:rsidRDefault="00AF5095" w:rsidP="002F4401">
      <w:pPr>
        <w:pStyle w:val="Teksttreci0"/>
        <w:shd w:val="clear" w:color="auto" w:fill="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Na prośbę OROZ najciekawsze wyroki/postanowienia SN po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xml:space="preserve"> będą przesyłane do Rzeczników.</w:t>
      </w:r>
    </w:p>
    <w:p w14:paraId="58A709E1" w14:textId="314E558B" w:rsidR="00950159" w:rsidRPr="006D4CCF" w:rsidRDefault="00950159" w:rsidP="006D4CCF">
      <w:pPr>
        <w:pStyle w:val="Akapitzlist"/>
        <w:spacing w:line="360" w:lineRule="auto"/>
        <w:ind w:left="-709"/>
        <w:jc w:val="both"/>
        <w:rPr>
          <w:rFonts w:ascii="Times New Roman" w:hAnsi="Times New Roman" w:cs="Times New Roman"/>
          <w:sz w:val="24"/>
          <w:szCs w:val="24"/>
        </w:rPr>
      </w:pPr>
    </w:p>
    <w:p w14:paraId="0545CD7D" w14:textId="77777777" w:rsidR="00950159" w:rsidRPr="00950159" w:rsidRDefault="00950159" w:rsidP="004A1DC7">
      <w:pPr>
        <w:spacing w:line="360" w:lineRule="auto"/>
        <w:ind w:left="780"/>
        <w:jc w:val="both"/>
        <w:rPr>
          <w:rFonts w:ascii="Arial" w:hAnsi="Arial" w:cs="Arial"/>
        </w:rPr>
      </w:pPr>
    </w:p>
    <w:p w14:paraId="23104423" w14:textId="77777777" w:rsidR="001E07FF" w:rsidRDefault="001E07FF" w:rsidP="004A1DC7">
      <w:pPr>
        <w:pStyle w:val="Teksttreci0"/>
        <w:shd w:val="clear" w:color="auto" w:fill="auto"/>
        <w:ind w:left="780" w:firstLine="0"/>
        <w:jc w:val="both"/>
      </w:pPr>
    </w:p>
    <w:p w14:paraId="6B06CE0A" w14:textId="741D85CD" w:rsidR="00720EA9" w:rsidRDefault="00720EA9" w:rsidP="004A1DC7">
      <w:pPr>
        <w:pStyle w:val="Teksttreci0"/>
        <w:shd w:val="clear" w:color="auto" w:fill="auto"/>
        <w:ind w:firstLine="0"/>
        <w:jc w:val="both"/>
      </w:pPr>
    </w:p>
    <w:p w14:paraId="7F1B4187" w14:textId="77777777" w:rsidR="00E81303" w:rsidRDefault="00E81303" w:rsidP="004A1DC7"/>
    <w:sectPr w:rsidR="00E81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7613"/>
    <w:multiLevelType w:val="hybridMultilevel"/>
    <w:tmpl w:val="688679D4"/>
    <w:lvl w:ilvl="0" w:tplc="14B84034">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 w15:restartNumberingAfterBreak="0">
    <w:nsid w:val="0DD01508"/>
    <w:multiLevelType w:val="hybridMultilevel"/>
    <w:tmpl w:val="84308F98"/>
    <w:lvl w:ilvl="0" w:tplc="8BD63550">
      <w:start w:val="3"/>
      <w:numFmt w:val="bullet"/>
      <w:lvlText w:val=""/>
      <w:lvlJc w:val="left"/>
      <w:pPr>
        <w:ind w:left="-349" w:hanging="360"/>
      </w:pPr>
      <w:rPr>
        <w:rFonts w:ascii="Symbol" w:eastAsia="Arial" w:hAnsi="Symbol" w:cs="Times New Roman" w:hint="default"/>
        <w:b/>
      </w:rPr>
    </w:lvl>
    <w:lvl w:ilvl="1" w:tplc="04150003" w:tentative="1">
      <w:start w:val="1"/>
      <w:numFmt w:val="bullet"/>
      <w:lvlText w:val="o"/>
      <w:lvlJc w:val="left"/>
      <w:pPr>
        <w:ind w:left="371" w:hanging="360"/>
      </w:pPr>
      <w:rPr>
        <w:rFonts w:ascii="Courier New" w:hAnsi="Courier New" w:cs="Courier New" w:hint="default"/>
      </w:rPr>
    </w:lvl>
    <w:lvl w:ilvl="2" w:tplc="04150005" w:tentative="1">
      <w:start w:val="1"/>
      <w:numFmt w:val="bullet"/>
      <w:lvlText w:val=""/>
      <w:lvlJc w:val="left"/>
      <w:pPr>
        <w:ind w:left="1091" w:hanging="360"/>
      </w:pPr>
      <w:rPr>
        <w:rFonts w:ascii="Wingdings" w:hAnsi="Wingdings" w:hint="default"/>
      </w:rPr>
    </w:lvl>
    <w:lvl w:ilvl="3" w:tplc="04150001" w:tentative="1">
      <w:start w:val="1"/>
      <w:numFmt w:val="bullet"/>
      <w:lvlText w:val=""/>
      <w:lvlJc w:val="left"/>
      <w:pPr>
        <w:ind w:left="1811" w:hanging="360"/>
      </w:pPr>
      <w:rPr>
        <w:rFonts w:ascii="Symbol" w:hAnsi="Symbol" w:hint="default"/>
      </w:rPr>
    </w:lvl>
    <w:lvl w:ilvl="4" w:tplc="04150003" w:tentative="1">
      <w:start w:val="1"/>
      <w:numFmt w:val="bullet"/>
      <w:lvlText w:val="o"/>
      <w:lvlJc w:val="left"/>
      <w:pPr>
        <w:ind w:left="2531" w:hanging="360"/>
      </w:pPr>
      <w:rPr>
        <w:rFonts w:ascii="Courier New" w:hAnsi="Courier New" w:cs="Courier New" w:hint="default"/>
      </w:rPr>
    </w:lvl>
    <w:lvl w:ilvl="5" w:tplc="04150005" w:tentative="1">
      <w:start w:val="1"/>
      <w:numFmt w:val="bullet"/>
      <w:lvlText w:val=""/>
      <w:lvlJc w:val="left"/>
      <w:pPr>
        <w:ind w:left="3251" w:hanging="360"/>
      </w:pPr>
      <w:rPr>
        <w:rFonts w:ascii="Wingdings" w:hAnsi="Wingdings" w:hint="default"/>
      </w:rPr>
    </w:lvl>
    <w:lvl w:ilvl="6" w:tplc="04150001" w:tentative="1">
      <w:start w:val="1"/>
      <w:numFmt w:val="bullet"/>
      <w:lvlText w:val=""/>
      <w:lvlJc w:val="left"/>
      <w:pPr>
        <w:ind w:left="3971" w:hanging="360"/>
      </w:pPr>
      <w:rPr>
        <w:rFonts w:ascii="Symbol" w:hAnsi="Symbol" w:hint="default"/>
      </w:rPr>
    </w:lvl>
    <w:lvl w:ilvl="7" w:tplc="04150003" w:tentative="1">
      <w:start w:val="1"/>
      <w:numFmt w:val="bullet"/>
      <w:lvlText w:val="o"/>
      <w:lvlJc w:val="left"/>
      <w:pPr>
        <w:ind w:left="4691" w:hanging="360"/>
      </w:pPr>
      <w:rPr>
        <w:rFonts w:ascii="Courier New" w:hAnsi="Courier New" w:cs="Courier New" w:hint="default"/>
      </w:rPr>
    </w:lvl>
    <w:lvl w:ilvl="8" w:tplc="04150005" w:tentative="1">
      <w:start w:val="1"/>
      <w:numFmt w:val="bullet"/>
      <w:lvlText w:val=""/>
      <w:lvlJc w:val="left"/>
      <w:pPr>
        <w:ind w:left="5411" w:hanging="360"/>
      </w:pPr>
      <w:rPr>
        <w:rFonts w:ascii="Wingdings" w:hAnsi="Wingdings" w:hint="default"/>
      </w:rPr>
    </w:lvl>
  </w:abstractNum>
  <w:abstractNum w:abstractNumId="2" w15:restartNumberingAfterBreak="0">
    <w:nsid w:val="3E8D5F80"/>
    <w:multiLevelType w:val="hybridMultilevel"/>
    <w:tmpl w:val="A572B562"/>
    <w:lvl w:ilvl="0" w:tplc="4806692E">
      <w:start w:val="1"/>
      <w:numFmt w:val="decimal"/>
      <w:lvlText w:val="%1."/>
      <w:lvlJc w:val="left"/>
      <w:pPr>
        <w:ind w:left="-431" w:hanging="360"/>
      </w:pPr>
      <w:rPr>
        <w:rFonts w:hint="default"/>
      </w:rPr>
    </w:lvl>
    <w:lvl w:ilvl="1" w:tplc="04150019" w:tentative="1">
      <w:start w:val="1"/>
      <w:numFmt w:val="lowerLetter"/>
      <w:lvlText w:val="%2."/>
      <w:lvlJc w:val="left"/>
      <w:pPr>
        <w:ind w:left="289" w:hanging="360"/>
      </w:pPr>
    </w:lvl>
    <w:lvl w:ilvl="2" w:tplc="0415001B" w:tentative="1">
      <w:start w:val="1"/>
      <w:numFmt w:val="lowerRoman"/>
      <w:lvlText w:val="%3."/>
      <w:lvlJc w:val="right"/>
      <w:pPr>
        <w:ind w:left="1009" w:hanging="180"/>
      </w:pPr>
    </w:lvl>
    <w:lvl w:ilvl="3" w:tplc="0415000F" w:tentative="1">
      <w:start w:val="1"/>
      <w:numFmt w:val="decimal"/>
      <w:lvlText w:val="%4."/>
      <w:lvlJc w:val="left"/>
      <w:pPr>
        <w:ind w:left="1729" w:hanging="360"/>
      </w:pPr>
    </w:lvl>
    <w:lvl w:ilvl="4" w:tplc="04150019" w:tentative="1">
      <w:start w:val="1"/>
      <w:numFmt w:val="lowerLetter"/>
      <w:lvlText w:val="%5."/>
      <w:lvlJc w:val="left"/>
      <w:pPr>
        <w:ind w:left="2449" w:hanging="360"/>
      </w:pPr>
    </w:lvl>
    <w:lvl w:ilvl="5" w:tplc="0415001B" w:tentative="1">
      <w:start w:val="1"/>
      <w:numFmt w:val="lowerRoman"/>
      <w:lvlText w:val="%6."/>
      <w:lvlJc w:val="right"/>
      <w:pPr>
        <w:ind w:left="3169" w:hanging="180"/>
      </w:pPr>
    </w:lvl>
    <w:lvl w:ilvl="6" w:tplc="0415000F" w:tentative="1">
      <w:start w:val="1"/>
      <w:numFmt w:val="decimal"/>
      <w:lvlText w:val="%7."/>
      <w:lvlJc w:val="left"/>
      <w:pPr>
        <w:ind w:left="3889" w:hanging="360"/>
      </w:pPr>
    </w:lvl>
    <w:lvl w:ilvl="7" w:tplc="04150019" w:tentative="1">
      <w:start w:val="1"/>
      <w:numFmt w:val="lowerLetter"/>
      <w:lvlText w:val="%8."/>
      <w:lvlJc w:val="left"/>
      <w:pPr>
        <w:ind w:left="4609" w:hanging="360"/>
      </w:pPr>
    </w:lvl>
    <w:lvl w:ilvl="8" w:tplc="0415001B" w:tentative="1">
      <w:start w:val="1"/>
      <w:numFmt w:val="lowerRoman"/>
      <w:lvlText w:val="%9."/>
      <w:lvlJc w:val="right"/>
      <w:pPr>
        <w:ind w:left="5329" w:hanging="180"/>
      </w:pPr>
    </w:lvl>
  </w:abstractNum>
  <w:num w:numId="1" w16cid:durableId="1580094139">
    <w:abstractNumId w:val="0"/>
  </w:num>
  <w:num w:numId="2" w16cid:durableId="1080181798">
    <w:abstractNumId w:val="2"/>
  </w:num>
  <w:num w:numId="3" w16cid:durableId="1595018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EA9"/>
    <w:rsid w:val="001E07FF"/>
    <w:rsid w:val="002F4401"/>
    <w:rsid w:val="004A1DC7"/>
    <w:rsid w:val="00553D59"/>
    <w:rsid w:val="00677DF5"/>
    <w:rsid w:val="006D4CCF"/>
    <w:rsid w:val="00720EA9"/>
    <w:rsid w:val="00950159"/>
    <w:rsid w:val="00AC6256"/>
    <w:rsid w:val="00AF5095"/>
    <w:rsid w:val="00D30BDF"/>
    <w:rsid w:val="00E81303"/>
    <w:rsid w:val="00F22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E94E"/>
  <w15:chartTrackingRefBased/>
  <w15:docId w15:val="{01047582-8DC9-4737-8F36-8D880233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720EA9"/>
    <w:rPr>
      <w:rFonts w:ascii="Arial" w:eastAsia="Arial" w:hAnsi="Arial" w:cs="Arial"/>
      <w:shd w:val="clear" w:color="auto" w:fill="FFFFFF"/>
    </w:rPr>
  </w:style>
  <w:style w:type="paragraph" w:customStyle="1" w:styleId="Teksttreci0">
    <w:name w:val="Tekst treści"/>
    <w:basedOn w:val="Normalny"/>
    <w:link w:val="Teksttreci"/>
    <w:rsid w:val="00720EA9"/>
    <w:pPr>
      <w:widowControl w:val="0"/>
      <w:shd w:val="clear" w:color="auto" w:fill="FFFFFF"/>
      <w:spacing w:after="0" w:line="394" w:lineRule="auto"/>
      <w:ind w:firstLine="400"/>
    </w:pPr>
    <w:rPr>
      <w:rFonts w:ascii="Arial" w:eastAsia="Arial" w:hAnsi="Arial" w:cs="Arial"/>
    </w:rPr>
  </w:style>
  <w:style w:type="paragraph" w:styleId="Akapitzlist">
    <w:name w:val="List Paragraph"/>
    <w:basedOn w:val="Normalny"/>
    <w:uiPriority w:val="34"/>
    <w:qFormat/>
    <w:rsid w:val="001E0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914695">
      <w:bodyDiv w:val="1"/>
      <w:marLeft w:val="0"/>
      <w:marRight w:val="0"/>
      <w:marTop w:val="0"/>
      <w:marBottom w:val="0"/>
      <w:divBdr>
        <w:top w:val="none" w:sz="0" w:space="0" w:color="auto"/>
        <w:left w:val="none" w:sz="0" w:space="0" w:color="auto"/>
        <w:bottom w:val="none" w:sz="0" w:space="0" w:color="auto"/>
        <w:right w:val="none" w:sz="0" w:space="0" w:color="auto"/>
      </w:divBdr>
    </w:div>
    <w:div w:id="208984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895</Words>
  <Characters>5376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Nowosielska</dc:creator>
  <cp:keywords/>
  <dc:description/>
  <cp:lastModifiedBy>Ewa Nowosielska</cp:lastModifiedBy>
  <cp:revision>7</cp:revision>
  <cp:lastPrinted>2023-04-25T06:26:00Z</cp:lastPrinted>
  <dcterms:created xsi:type="dcterms:W3CDTF">2023-04-21T12:03:00Z</dcterms:created>
  <dcterms:modified xsi:type="dcterms:W3CDTF">2023-04-25T06:27:00Z</dcterms:modified>
</cp:coreProperties>
</file>