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846F" w14:textId="77777777" w:rsidR="00680A58" w:rsidRPr="007E43C2" w:rsidRDefault="007F17F1" w:rsidP="007E43C2">
      <w:pPr>
        <w:spacing w:line="276" w:lineRule="auto"/>
        <w:jc w:val="center"/>
        <w:rPr>
          <w:rFonts w:ascii="Muli" w:hAnsi="Muli"/>
          <w:b/>
          <w:bCs/>
        </w:rPr>
      </w:pPr>
      <w:r w:rsidRPr="007E43C2">
        <w:rPr>
          <w:rFonts w:ascii="Muli" w:hAnsi="Muli"/>
          <w:b/>
          <w:bCs/>
        </w:rPr>
        <w:t>Protokół z konferencji szkoleniowej zorganizowanej przez</w:t>
      </w:r>
    </w:p>
    <w:p w14:paraId="76825280" w14:textId="4FBAD59B" w:rsidR="00680A58" w:rsidRPr="007E43C2" w:rsidRDefault="007F17F1" w:rsidP="007E43C2">
      <w:pPr>
        <w:spacing w:line="276" w:lineRule="auto"/>
        <w:jc w:val="center"/>
        <w:rPr>
          <w:rFonts w:ascii="Muli" w:hAnsi="Muli"/>
          <w:b/>
          <w:bCs/>
        </w:rPr>
      </w:pPr>
      <w:r w:rsidRPr="007E43C2">
        <w:rPr>
          <w:rFonts w:ascii="Muli" w:hAnsi="Muli"/>
          <w:b/>
          <w:bCs/>
        </w:rPr>
        <w:t xml:space="preserve"> Naczelnego Rzecznika Odpowiedzialności Zawodowej </w:t>
      </w:r>
    </w:p>
    <w:p w14:paraId="75BC6D7A" w14:textId="58C0C63F" w:rsidR="00680A58" w:rsidRPr="007E43C2" w:rsidRDefault="007F17F1" w:rsidP="007E43C2">
      <w:pPr>
        <w:spacing w:line="276" w:lineRule="auto"/>
        <w:jc w:val="center"/>
        <w:rPr>
          <w:rFonts w:ascii="Muli" w:hAnsi="Muli"/>
          <w:b/>
          <w:bCs/>
        </w:rPr>
      </w:pPr>
      <w:r w:rsidRPr="007E43C2">
        <w:rPr>
          <w:rFonts w:ascii="Muli" w:hAnsi="Muli"/>
          <w:b/>
          <w:bCs/>
        </w:rPr>
        <w:t>dla Okręgowych Rzeczników Odpowiedzialności Zawodowej,</w:t>
      </w:r>
    </w:p>
    <w:p w14:paraId="61A247EC" w14:textId="7E86000A" w:rsidR="007F17F1" w:rsidRPr="007E43C2" w:rsidRDefault="007F17F1" w:rsidP="007E43C2">
      <w:pPr>
        <w:spacing w:line="276" w:lineRule="auto"/>
        <w:jc w:val="center"/>
        <w:rPr>
          <w:rFonts w:ascii="Muli" w:hAnsi="Muli"/>
          <w:b/>
          <w:bCs/>
        </w:rPr>
      </w:pPr>
      <w:r w:rsidRPr="007E43C2">
        <w:rPr>
          <w:rFonts w:ascii="Muli" w:hAnsi="Muli"/>
          <w:b/>
          <w:bCs/>
        </w:rPr>
        <w:t xml:space="preserve"> Warszawa 15 listopada 2025 r.</w:t>
      </w:r>
    </w:p>
    <w:p w14:paraId="0DCEFB6A" w14:textId="77777777" w:rsidR="007F17F1" w:rsidRPr="007F17F1" w:rsidRDefault="007F17F1" w:rsidP="00680A58">
      <w:pPr>
        <w:jc w:val="both"/>
        <w:rPr>
          <w:rFonts w:ascii="Muli" w:hAnsi="Muli"/>
        </w:rPr>
      </w:pPr>
    </w:p>
    <w:p w14:paraId="1F0063A9" w14:textId="77777777" w:rsidR="007F17F1" w:rsidRPr="007F17F1" w:rsidRDefault="007F17F1" w:rsidP="00680A58">
      <w:pPr>
        <w:jc w:val="both"/>
        <w:rPr>
          <w:rFonts w:ascii="Muli" w:hAnsi="Muli"/>
        </w:rPr>
      </w:pPr>
    </w:p>
    <w:p w14:paraId="2EC8E84B" w14:textId="77777777" w:rsidR="007E43C2" w:rsidRPr="007E43C2" w:rsidRDefault="007F17F1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t xml:space="preserve">NROZ dr n.med. Zbigniew Kuzyszyn powitał uczestników szkolenia. </w:t>
      </w:r>
    </w:p>
    <w:p w14:paraId="1C666D3E" w14:textId="4461B8C9" w:rsidR="007F17F1" w:rsidRPr="007E43C2" w:rsidRDefault="007E43C2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b/>
          <w:bCs/>
          <w:sz w:val="21"/>
          <w:szCs w:val="21"/>
        </w:rPr>
        <w:t>Dr n,</w:t>
      </w:r>
      <w:r w:rsidR="004E27B2">
        <w:rPr>
          <w:rFonts w:ascii="Muli" w:hAnsi="Muli"/>
          <w:b/>
          <w:bCs/>
          <w:sz w:val="21"/>
          <w:szCs w:val="21"/>
        </w:rPr>
        <w:t xml:space="preserve"> </w:t>
      </w:r>
      <w:r w:rsidRPr="007E43C2">
        <w:rPr>
          <w:rFonts w:ascii="Muli" w:hAnsi="Muli"/>
          <w:b/>
          <w:bCs/>
          <w:sz w:val="21"/>
          <w:szCs w:val="21"/>
        </w:rPr>
        <w:t>pr. Paulina Tomaszewska-</w:t>
      </w:r>
      <w:proofErr w:type="spellStart"/>
      <w:r w:rsidRPr="007E43C2">
        <w:rPr>
          <w:rFonts w:ascii="Muli" w:hAnsi="Muli"/>
          <w:b/>
          <w:bCs/>
          <w:sz w:val="21"/>
          <w:szCs w:val="21"/>
        </w:rPr>
        <w:t>Rozbicka</w:t>
      </w:r>
      <w:proofErr w:type="spellEnd"/>
      <w:r w:rsidRPr="007E43C2">
        <w:rPr>
          <w:rFonts w:ascii="Muli" w:hAnsi="Muli"/>
          <w:sz w:val="21"/>
          <w:szCs w:val="21"/>
        </w:rPr>
        <w:t xml:space="preserve"> przedstawiła </w:t>
      </w:r>
      <w:r>
        <w:rPr>
          <w:rFonts w:ascii="Muli" w:hAnsi="Muli"/>
          <w:sz w:val="21"/>
          <w:szCs w:val="21"/>
        </w:rPr>
        <w:t xml:space="preserve">kwestię </w:t>
      </w:r>
      <w:r w:rsidRPr="007E43C2">
        <w:rPr>
          <w:rFonts w:ascii="Muli" w:hAnsi="Muli"/>
          <w:sz w:val="21"/>
          <w:szCs w:val="21"/>
        </w:rPr>
        <w:t>dotycząc</w:t>
      </w:r>
      <w:r>
        <w:rPr>
          <w:rFonts w:ascii="Muli" w:hAnsi="Muli"/>
          <w:sz w:val="21"/>
          <w:szCs w:val="21"/>
        </w:rPr>
        <w:t>ą</w:t>
      </w:r>
      <w:r w:rsidRPr="007E43C2">
        <w:rPr>
          <w:rFonts w:ascii="Muli" w:hAnsi="Muli"/>
          <w:sz w:val="21"/>
          <w:szCs w:val="21"/>
        </w:rPr>
        <w:t xml:space="preserve"> </w:t>
      </w:r>
      <w:r w:rsidRPr="007E43C2">
        <w:rPr>
          <w:rFonts w:ascii="Muli" w:hAnsi="Muli"/>
          <w:bCs/>
          <w:sz w:val="21"/>
          <w:szCs w:val="21"/>
        </w:rPr>
        <w:t>przej</w:t>
      </w:r>
      <w:r>
        <w:rPr>
          <w:rFonts w:ascii="Muli" w:hAnsi="Muli"/>
          <w:bCs/>
          <w:sz w:val="21"/>
          <w:szCs w:val="21"/>
        </w:rPr>
        <w:t xml:space="preserve">mowania </w:t>
      </w:r>
      <w:r w:rsidRPr="007E43C2">
        <w:rPr>
          <w:rFonts w:ascii="Muli" w:hAnsi="Muli"/>
          <w:bCs/>
          <w:sz w:val="21"/>
          <w:szCs w:val="21"/>
        </w:rPr>
        <w:t>do wykonania na terytorium</w:t>
      </w:r>
      <w:r w:rsidR="004E27B2">
        <w:rPr>
          <w:rFonts w:ascii="Muli" w:hAnsi="Muli"/>
          <w:bCs/>
          <w:sz w:val="21"/>
          <w:szCs w:val="21"/>
        </w:rPr>
        <w:t xml:space="preserve"> </w:t>
      </w:r>
      <w:r w:rsidRPr="007E43C2">
        <w:rPr>
          <w:rFonts w:ascii="Muli" w:hAnsi="Muli"/>
          <w:bCs/>
          <w:sz w:val="21"/>
          <w:szCs w:val="21"/>
        </w:rPr>
        <w:t>Rzeczypospolitej Polskiej orzecze</w:t>
      </w:r>
      <w:r>
        <w:rPr>
          <w:rFonts w:ascii="Muli" w:hAnsi="Muli"/>
          <w:bCs/>
          <w:sz w:val="21"/>
          <w:szCs w:val="21"/>
        </w:rPr>
        <w:t>ń</w:t>
      </w:r>
      <w:r w:rsidRPr="007E43C2">
        <w:rPr>
          <w:rFonts w:ascii="Muli" w:hAnsi="Muli"/>
          <w:bCs/>
          <w:sz w:val="21"/>
          <w:szCs w:val="21"/>
        </w:rPr>
        <w:t xml:space="preserve"> właściw</w:t>
      </w:r>
      <w:r>
        <w:rPr>
          <w:rFonts w:ascii="Muli" w:hAnsi="Muli"/>
          <w:bCs/>
          <w:sz w:val="21"/>
          <w:szCs w:val="21"/>
        </w:rPr>
        <w:t xml:space="preserve">ych </w:t>
      </w:r>
      <w:r w:rsidRPr="007E43C2">
        <w:rPr>
          <w:rFonts w:ascii="Muli" w:hAnsi="Muli"/>
          <w:bCs/>
          <w:sz w:val="21"/>
          <w:szCs w:val="21"/>
        </w:rPr>
        <w:t>organ</w:t>
      </w:r>
      <w:r>
        <w:rPr>
          <w:rFonts w:ascii="Muli" w:hAnsi="Muli"/>
          <w:bCs/>
          <w:sz w:val="21"/>
          <w:szCs w:val="21"/>
        </w:rPr>
        <w:t>ów w państwach członkowskich UE oraz</w:t>
      </w:r>
      <w:r w:rsidRPr="007E43C2">
        <w:rPr>
          <w:rFonts w:ascii="Muli" w:hAnsi="Muli"/>
          <w:bCs/>
          <w:sz w:val="21"/>
          <w:szCs w:val="21"/>
        </w:rPr>
        <w:t xml:space="preserve"> w Zjednoczonym Królestwie Wielkiej Brytanii i Irlandii Północnej</w:t>
      </w:r>
      <w:r w:rsidR="007F17F1" w:rsidRPr="007E43C2">
        <w:rPr>
          <w:rFonts w:ascii="Muli" w:hAnsi="Muli"/>
          <w:sz w:val="21"/>
          <w:szCs w:val="21"/>
        </w:rPr>
        <w:t>.</w:t>
      </w:r>
    </w:p>
    <w:p w14:paraId="727C2352" w14:textId="77777777" w:rsidR="007F17F1" w:rsidRPr="007E43C2" w:rsidRDefault="007F17F1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</w:p>
    <w:p w14:paraId="592551DA" w14:textId="46861F24" w:rsidR="007F17F1" w:rsidRPr="007E43C2" w:rsidRDefault="007F17F1" w:rsidP="007E43C2">
      <w:pPr>
        <w:spacing w:line="276" w:lineRule="auto"/>
        <w:jc w:val="both"/>
        <w:rPr>
          <w:rFonts w:ascii="Muli" w:hAnsi="Muli"/>
          <w:b/>
          <w:bCs/>
          <w:i/>
          <w:iCs/>
          <w:sz w:val="21"/>
          <w:szCs w:val="21"/>
        </w:rPr>
      </w:pPr>
      <w:r w:rsidRPr="007E43C2">
        <w:rPr>
          <w:rFonts w:ascii="Muli" w:hAnsi="Muli"/>
          <w:b/>
          <w:bCs/>
          <w:i/>
          <w:iCs/>
          <w:sz w:val="21"/>
          <w:szCs w:val="21"/>
        </w:rPr>
        <w:t>Postanowienie Sądu Najwyższego z dnia 24 października 2025 r., sygn. akt II ZK 78/25</w:t>
      </w:r>
    </w:p>
    <w:p w14:paraId="0FED3ED3" w14:textId="39F6C57F" w:rsidR="00026513" w:rsidRPr="007E43C2" w:rsidRDefault="007F17F1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t>W dniu 24 października 2025 r. odbyła się rozprawa, podczas której Sąd Najwyższy potwierdził</w:t>
      </w:r>
      <w:r w:rsidR="00352B85" w:rsidRPr="007E43C2">
        <w:rPr>
          <w:rFonts w:ascii="Muli" w:hAnsi="Muli"/>
          <w:sz w:val="21"/>
          <w:szCs w:val="21"/>
        </w:rPr>
        <w:t xml:space="preserve"> prawną dopuszczalność </w:t>
      </w:r>
      <w:r w:rsidRPr="007E43C2">
        <w:rPr>
          <w:rFonts w:ascii="Muli" w:hAnsi="Muli"/>
          <w:sz w:val="21"/>
          <w:szCs w:val="21"/>
        </w:rPr>
        <w:t>przejęci</w:t>
      </w:r>
      <w:r w:rsidR="00352B85" w:rsidRPr="007E43C2">
        <w:rPr>
          <w:rFonts w:ascii="Muli" w:hAnsi="Muli"/>
          <w:sz w:val="21"/>
          <w:szCs w:val="21"/>
        </w:rPr>
        <w:t>a</w:t>
      </w:r>
      <w:r w:rsidRPr="007E43C2">
        <w:rPr>
          <w:rFonts w:ascii="Muli" w:hAnsi="Muli"/>
          <w:sz w:val="21"/>
          <w:szCs w:val="21"/>
        </w:rPr>
        <w:t xml:space="preserve"> do wykonania orzecze</w:t>
      </w:r>
      <w:r w:rsidR="00352B85" w:rsidRPr="007E43C2">
        <w:rPr>
          <w:rFonts w:ascii="Muli" w:hAnsi="Muli"/>
          <w:sz w:val="21"/>
          <w:szCs w:val="21"/>
        </w:rPr>
        <w:t>ń</w:t>
      </w:r>
      <w:r w:rsidRPr="007E43C2">
        <w:rPr>
          <w:rFonts w:ascii="Muli" w:hAnsi="Muli"/>
          <w:sz w:val="21"/>
          <w:szCs w:val="21"/>
        </w:rPr>
        <w:t xml:space="preserve"> zagraniczn</w:t>
      </w:r>
      <w:r w:rsidR="00352B85" w:rsidRPr="007E43C2">
        <w:rPr>
          <w:rFonts w:ascii="Muli" w:hAnsi="Muli"/>
          <w:sz w:val="21"/>
          <w:szCs w:val="21"/>
        </w:rPr>
        <w:t>ych</w:t>
      </w:r>
      <w:r w:rsidRPr="007E43C2">
        <w:rPr>
          <w:rFonts w:ascii="Muli" w:hAnsi="Muli"/>
          <w:sz w:val="21"/>
          <w:szCs w:val="21"/>
        </w:rPr>
        <w:t xml:space="preserve"> sąd</w:t>
      </w:r>
      <w:r w:rsidR="00352B85" w:rsidRPr="007E43C2">
        <w:rPr>
          <w:rFonts w:ascii="Muli" w:hAnsi="Muli"/>
          <w:sz w:val="21"/>
          <w:szCs w:val="21"/>
        </w:rPr>
        <w:t>ów</w:t>
      </w:r>
      <w:r w:rsidRPr="007E43C2">
        <w:rPr>
          <w:rFonts w:ascii="Muli" w:hAnsi="Muli"/>
          <w:sz w:val="21"/>
          <w:szCs w:val="21"/>
        </w:rPr>
        <w:t xml:space="preserve"> lekarski</w:t>
      </w:r>
      <w:r w:rsidR="00352B85" w:rsidRPr="007E43C2">
        <w:rPr>
          <w:rFonts w:ascii="Muli" w:hAnsi="Muli"/>
          <w:sz w:val="21"/>
          <w:szCs w:val="21"/>
        </w:rPr>
        <w:t xml:space="preserve">ch, </w:t>
      </w:r>
      <w:r w:rsidRPr="007E43C2">
        <w:rPr>
          <w:rFonts w:ascii="Muli" w:hAnsi="Muli"/>
          <w:sz w:val="21"/>
          <w:szCs w:val="21"/>
        </w:rPr>
        <w:t xml:space="preserve">na podstawie art. 112 </w:t>
      </w:r>
      <w:r w:rsidR="00026513" w:rsidRPr="007E43C2">
        <w:rPr>
          <w:rFonts w:ascii="Muli" w:hAnsi="Muli"/>
          <w:sz w:val="21"/>
          <w:szCs w:val="21"/>
        </w:rPr>
        <w:t xml:space="preserve">ustawy z dnia 2 grudnia 2009 r. o izbach lekarskich (dalej: </w:t>
      </w:r>
      <w:proofErr w:type="spellStart"/>
      <w:r w:rsidR="00026513" w:rsidRPr="007E43C2">
        <w:rPr>
          <w:rFonts w:ascii="Muli" w:hAnsi="Muli"/>
          <w:sz w:val="21"/>
          <w:szCs w:val="21"/>
        </w:rPr>
        <w:t>u.i.l</w:t>
      </w:r>
      <w:proofErr w:type="spellEnd"/>
      <w:r w:rsidR="00026513" w:rsidRPr="007E43C2">
        <w:rPr>
          <w:rFonts w:ascii="Muli" w:hAnsi="Muli"/>
          <w:sz w:val="21"/>
          <w:szCs w:val="21"/>
        </w:rPr>
        <w:t>.)</w:t>
      </w:r>
      <w:r w:rsidRPr="007E43C2">
        <w:rPr>
          <w:rFonts w:ascii="Muli" w:hAnsi="Muli"/>
          <w:sz w:val="21"/>
          <w:szCs w:val="21"/>
        </w:rPr>
        <w:t xml:space="preserve"> w drodze odpowiedniego stosowania przepisów kodeksu postępowania karnego</w:t>
      </w:r>
      <w:r w:rsidR="00026513" w:rsidRPr="007E43C2">
        <w:rPr>
          <w:rFonts w:ascii="Muli" w:hAnsi="Muli"/>
          <w:sz w:val="21"/>
          <w:szCs w:val="21"/>
        </w:rPr>
        <w:t xml:space="preserve"> (rozdział 66 </w:t>
      </w:r>
      <w:r w:rsidR="00AB1864" w:rsidRPr="007E43C2">
        <w:rPr>
          <w:rFonts w:ascii="Muli" w:hAnsi="Muli"/>
          <w:sz w:val="21"/>
          <w:szCs w:val="21"/>
        </w:rPr>
        <w:t>k.p.k.</w:t>
      </w:r>
      <w:r w:rsidR="00026513" w:rsidRPr="007E43C2">
        <w:rPr>
          <w:rFonts w:ascii="Muli" w:hAnsi="Muli"/>
          <w:sz w:val="21"/>
          <w:szCs w:val="21"/>
        </w:rPr>
        <w:t>)</w:t>
      </w:r>
      <w:r w:rsidRPr="007E43C2">
        <w:rPr>
          <w:rFonts w:ascii="Muli" w:hAnsi="Muli"/>
          <w:sz w:val="21"/>
          <w:szCs w:val="21"/>
        </w:rPr>
        <w:t xml:space="preserve">. Sąd podkreślił, że ustawodawca w art. 112 </w:t>
      </w:r>
      <w:proofErr w:type="spellStart"/>
      <w:r w:rsidRPr="007E43C2">
        <w:rPr>
          <w:rFonts w:ascii="Muli" w:hAnsi="Muli"/>
          <w:sz w:val="21"/>
          <w:szCs w:val="21"/>
        </w:rPr>
        <w:t>u.i.l</w:t>
      </w:r>
      <w:proofErr w:type="spellEnd"/>
      <w:r w:rsidRPr="007E43C2">
        <w:rPr>
          <w:rFonts w:ascii="Muli" w:hAnsi="Muli"/>
          <w:sz w:val="21"/>
          <w:szCs w:val="21"/>
        </w:rPr>
        <w:t xml:space="preserve">.  nie zablokował możliwości odpowiedniego stosowania przepisów kodeksu postępowania karnego w zakresie przejęcia do wykonania orzeczeń sądów zagranicznych. W zakresie dopuszczalności przejęcia do wykonania orzeczenia zagranicznego sądu lekarskiego powinno zapaść „orzeczenie” a nie „postanowienie”.  Podkreślono, że po to właśnie właściwe organy państwa członkowskiego informują </w:t>
      </w:r>
      <w:r w:rsidR="00026513" w:rsidRPr="007E43C2">
        <w:rPr>
          <w:rFonts w:ascii="Muli" w:hAnsi="Muli"/>
          <w:sz w:val="21"/>
          <w:szCs w:val="21"/>
        </w:rPr>
        <w:t xml:space="preserve">w Systemie IMI </w:t>
      </w:r>
      <w:r w:rsidRPr="007E43C2">
        <w:rPr>
          <w:rFonts w:ascii="Muli" w:hAnsi="Muli"/>
          <w:sz w:val="21"/>
          <w:szCs w:val="21"/>
        </w:rPr>
        <w:t>właściwe organy wszystkich pozostałych państw członkowskich o lekarzu lub lekarzu dentyście, wobec którego organy lub sądy krajowe wydały zakaz lub ograniczenie, nawet tymczasowo, prowadzenia na terytorium tego państwa członkowskiego działalności zawodowej w jej pełnym lub częściowym zakresie (Dyrektywa 2005/36/WE Parlamentu Europejskiego i Rady)</w:t>
      </w:r>
      <w:r w:rsidR="00026513" w:rsidRPr="007E43C2">
        <w:rPr>
          <w:rFonts w:ascii="Muli" w:hAnsi="Muli"/>
          <w:sz w:val="21"/>
          <w:szCs w:val="21"/>
        </w:rPr>
        <w:t>, aby właściwe organy innych państw członkowskich mogły podjąć działania w przypadku stwierdzenia, że lekarz lub lekarz dentysta może stanowić zagrożenie dla pacjentów również w tym państwie. Procedura przejęcia do wykonania orzeczeń zagranicznych sądów lekarskich pozwala polskiemu samorządowi zawodowemu na podjęcie działań w przypadku ukarania lekarza w innym kraju, w ramach sprawowania pieczy nad należytym wykonywaniem zawodu lekarza i lekarza dentysty (Postanowienie Sądu Najwyższego z dnia 24.10.2025 r. w sprawie o sygn. akt II ZK 78/25).</w:t>
      </w:r>
    </w:p>
    <w:p w14:paraId="4982F81F" w14:textId="77777777" w:rsidR="001C046E" w:rsidRPr="007E43C2" w:rsidRDefault="001C046E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</w:p>
    <w:p w14:paraId="25A0209B" w14:textId="7553BB35" w:rsidR="00026513" w:rsidRPr="007E43C2" w:rsidRDefault="00026513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t>Następnie NROZ omówił bieżące sprawy</w:t>
      </w:r>
      <w:r w:rsidR="001C046E" w:rsidRPr="007E43C2">
        <w:rPr>
          <w:rFonts w:ascii="Muli" w:hAnsi="Muli"/>
          <w:sz w:val="21"/>
          <w:szCs w:val="21"/>
        </w:rPr>
        <w:t>.</w:t>
      </w:r>
    </w:p>
    <w:p w14:paraId="24C3E94D" w14:textId="0EF5633B" w:rsidR="00026513" w:rsidRPr="007E43C2" w:rsidRDefault="00026513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t xml:space="preserve">Jako pierwsze zostały przedstawione </w:t>
      </w:r>
      <w:r w:rsidR="00461C6B" w:rsidRPr="007E43C2">
        <w:rPr>
          <w:rFonts w:ascii="Muli" w:hAnsi="Muli"/>
          <w:sz w:val="21"/>
          <w:szCs w:val="21"/>
        </w:rPr>
        <w:t>sprawy,</w:t>
      </w:r>
      <w:r w:rsidRPr="007E43C2">
        <w:rPr>
          <w:rFonts w:ascii="Muli" w:hAnsi="Muli"/>
          <w:sz w:val="21"/>
          <w:szCs w:val="21"/>
        </w:rPr>
        <w:t xml:space="preserve"> w których doszło do orzeczenia kary zawieszenia prawa wykonywania zawodu lekarzom lub lekarzom dentystom. </w:t>
      </w:r>
    </w:p>
    <w:p w14:paraId="7FFC8DA9" w14:textId="40299A7F" w:rsidR="00461C6B" w:rsidRPr="007E43C2" w:rsidRDefault="00026513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lastRenderedPageBreak/>
        <w:t xml:space="preserve">Następnie odniesiono się do problematyki skarg kierowanych przez Rzecznika Praw Pacjenta oraz przedstawicieli Centrum e-Zdrowia do okręgowych rzeczników odpowiedzialności zawodowej. Podkreślono, że liczba kierowanych skarg wzrasta, jednakże nie wszystkie dotyczą czynów mogących stanowić przewinienie zawodowe. Mając na uwadze ekonomikę prowadzonych postępowań a także zachowanie płynności w zakresie wymiany korespondencji pomiędzy rzecznikami odpowiedzialności zawodowej a RPP i Centrum e-Zdrowia zaproponowano, aby zorganizować wspólne </w:t>
      </w:r>
      <w:r w:rsidR="00461C6B" w:rsidRPr="007E43C2">
        <w:rPr>
          <w:rFonts w:ascii="Muli" w:hAnsi="Muli"/>
          <w:sz w:val="21"/>
          <w:szCs w:val="21"/>
        </w:rPr>
        <w:t>spotkanie, podczas którego możliwe byłoby ustalenie wspólnych zasad komunikacji, wymiana uwag i spostrzeżeń wynikających z dotychczasowej współpracy.</w:t>
      </w:r>
    </w:p>
    <w:p w14:paraId="05AD3809" w14:textId="5F3B3EFF" w:rsidR="00026513" w:rsidRPr="007E43C2" w:rsidRDefault="00461C6B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t xml:space="preserve">W zakresie jurysdykcji izb lekarskich podkreślono, że w związku z wprowadzanymi przez Ministerstwo Zdrowia zmianami prawnymi nadal funkcjonuje grupa lekarzy lub lekarzy dentystów, którzy nie są członkami izby lekarskiej, ale uzyskali decyzję Ministra Zdrowia </w:t>
      </w:r>
      <w:r w:rsidR="00EE569F" w:rsidRPr="007E43C2">
        <w:rPr>
          <w:rFonts w:ascii="Muli" w:hAnsi="Muli"/>
          <w:sz w:val="21"/>
          <w:szCs w:val="21"/>
        </w:rPr>
        <w:t xml:space="preserve">pozwalającą </w:t>
      </w:r>
      <w:r w:rsidRPr="007E43C2">
        <w:rPr>
          <w:rFonts w:ascii="Muli" w:hAnsi="Muli"/>
          <w:sz w:val="21"/>
          <w:szCs w:val="21"/>
        </w:rPr>
        <w:t xml:space="preserve">na pracę na podstawie tzw. warunkowego prawa wykonywania zawodu lub w ramach uproszczonych procedur dla lekarzy spoza UE. W praktyce, sytuacja to może dotyczyć osób, w stosunku do których izba lekarska odmówiła wpisu, mimo zgody ministra, co spowodowało, że formalnie mogą leczyć, ale nie </w:t>
      </w:r>
      <w:r w:rsidR="00AD4291" w:rsidRPr="007E43C2">
        <w:rPr>
          <w:rFonts w:ascii="Muli" w:hAnsi="Muli"/>
          <w:sz w:val="21"/>
          <w:szCs w:val="21"/>
        </w:rPr>
        <w:t>są członkami polskich izb lekarskich, nie zostały wpisan</w:t>
      </w:r>
      <w:r w:rsidR="00902EE9" w:rsidRPr="007E43C2">
        <w:rPr>
          <w:rFonts w:ascii="Muli" w:hAnsi="Muli"/>
          <w:sz w:val="21"/>
          <w:szCs w:val="21"/>
        </w:rPr>
        <w:t>e</w:t>
      </w:r>
      <w:r w:rsidR="00AD4291" w:rsidRPr="007E43C2">
        <w:rPr>
          <w:rFonts w:ascii="Muli" w:hAnsi="Muli"/>
          <w:sz w:val="21"/>
          <w:szCs w:val="21"/>
        </w:rPr>
        <w:t xml:space="preserve"> do Centralnego Rejestru Lekarzy, a co za tym idzie, nie podlegają odpowiedzialności zawodowej</w:t>
      </w:r>
      <w:r w:rsidR="00902EE9" w:rsidRPr="007E43C2">
        <w:rPr>
          <w:rFonts w:ascii="Muli" w:hAnsi="Muli"/>
          <w:sz w:val="21"/>
          <w:szCs w:val="21"/>
        </w:rPr>
        <w:t>. Z</w:t>
      </w:r>
      <w:r w:rsidR="00AD4291" w:rsidRPr="007E43C2">
        <w:rPr>
          <w:rFonts w:ascii="Muli" w:hAnsi="Muli"/>
          <w:sz w:val="21"/>
          <w:szCs w:val="21"/>
        </w:rPr>
        <w:t xml:space="preserve">godnie bowiem z art. 53 </w:t>
      </w:r>
      <w:proofErr w:type="spellStart"/>
      <w:r w:rsidR="00AD4291" w:rsidRPr="007E43C2">
        <w:rPr>
          <w:rFonts w:ascii="Muli" w:hAnsi="Muli"/>
          <w:sz w:val="21"/>
          <w:szCs w:val="21"/>
        </w:rPr>
        <w:t>u.i.l</w:t>
      </w:r>
      <w:proofErr w:type="spellEnd"/>
      <w:r w:rsidR="00AD4291" w:rsidRPr="007E43C2">
        <w:rPr>
          <w:rFonts w:ascii="Muli" w:hAnsi="Muli"/>
          <w:sz w:val="21"/>
          <w:szCs w:val="21"/>
        </w:rPr>
        <w:t>. tylko członkowie izb lekarskich podlegają odpowiedzialności zawodowej za naruszenie zasad etyki lekarskiej oraz przepisów związanych z wykonywaniem zawodu lekarza, zwane dalej „przewinieniem zawodowym”.</w:t>
      </w:r>
      <w:r w:rsidRPr="007E43C2">
        <w:rPr>
          <w:rFonts w:ascii="Muli" w:hAnsi="Muli"/>
          <w:sz w:val="21"/>
          <w:szCs w:val="21"/>
        </w:rPr>
        <w:t xml:space="preserve"> </w:t>
      </w:r>
      <w:r w:rsidR="00AD4291" w:rsidRPr="007E43C2">
        <w:rPr>
          <w:rFonts w:ascii="Muli" w:hAnsi="Muli"/>
          <w:sz w:val="21"/>
          <w:szCs w:val="21"/>
        </w:rPr>
        <w:t xml:space="preserve">Tak więc rzecznik odpowiedzialności zawodowej nawet w </w:t>
      </w:r>
      <w:r w:rsidR="00EE2FBD" w:rsidRPr="007E43C2">
        <w:rPr>
          <w:rFonts w:ascii="Muli" w:hAnsi="Muli"/>
          <w:sz w:val="21"/>
          <w:szCs w:val="21"/>
        </w:rPr>
        <w:t>przypadku,</w:t>
      </w:r>
      <w:r w:rsidR="00AD4291" w:rsidRPr="007E43C2">
        <w:rPr>
          <w:rFonts w:ascii="Muli" w:hAnsi="Muli"/>
          <w:sz w:val="21"/>
          <w:szCs w:val="21"/>
        </w:rPr>
        <w:t xml:space="preserve"> gdyby otrzymał skargę na taką osobę nie ma prawnych możliwości do wszczęcia i prowadzenia postępowania wyjaśniającego.</w:t>
      </w:r>
    </w:p>
    <w:p w14:paraId="76A231B9" w14:textId="5F3D13E4" w:rsidR="00D856A3" w:rsidRPr="007E43C2" w:rsidRDefault="00B2500F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t xml:space="preserve">Następnie, omówione zostały sprawy dotyczące teleporad, z uwzględnieniem aktualnego brzmienia art. 9 Kodeksu Etyki Lekarskiej, zgodnie z którym </w:t>
      </w:r>
      <w:r w:rsidR="00D856A3" w:rsidRPr="007E43C2">
        <w:rPr>
          <w:rFonts w:ascii="Muli" w:hAnsi="Muli"/>
          <w:sz w:val="21"/>
          <w:szCs w:val="21"/>
        </w:rPr>
        <w:t xml:space="preserve">lekarz podejmuje się opieki nad pacjentem po uprzedniej ocenie jego stanu. Lekarz wybiera taką formę konsultacji (w szczególności wizyta stacjonarna, teleporada), która zapewnia pacjentowi dostępną jakość i ciągłość opieki medycznej. </w:t>
      </w:r>
      <w:r w:rsidR="00860BE2" w:rsidRPr="007E43C2">
        <w:rPr>
          <w:rFonts w:ascii="Muli" w:hAnsi="Muli"/>
          <w:sz w:val="21"/>
          <w:szCs w:val="21"/>
        </w:rPr>
        <w:t>Podkreślono, że w sprawach dotyczących odpowiedzialności</w:t>
      </w:r>
      <w:r w:rsidR="00911ACC" w:rsidRPr="007E43C2">
        <w:rPr>
          <w:rFonts w:ascii="Muli" w:hAnsi="Muli"/>
          <w:sz w:val="21"/>
          <w:szCs w:val="21"/>
        </w:rPr>
        <w:t xml:space="preserve"> zawodowej</w:t>
      </w:r>
      <w:r w:rsidR="00860BE2" w:rsidRPr="007E43C2">
        <w:rPr>
          <w:rFonts w:ascii="Muli" w:hAnsi="Muli"/>
          <w:sz w:val="21"/>
          <w:szCs w:val="21"/>
        </w:rPr>
        <w:t xml:space="preserve"> lekarzy i lekarzy dentystów </w:t>
      </w:r>
      <w:r w:rsidR="00D65908" w:rsidRPr="007E43C2">
        <w:rPr>
          <w:rFonts w:ascii="Muli" w:hAnsi="Muli"/>
          <w:sz w:val="21"/>
          <w:szCs w:val="21"/>
        </w:rPr>
        <w:t xml:space="preserve">za naruszenie tego przepisu warto odwoływać się do </w:t>
      </w:r>
      <w:r w:rsidR="00977B0D" w:rsidRPr="007E43C2">
        <w:rPr>
          <w:rFonts w:ascii="Muli" w:hAnsi="Muli"/>
          <w:sz w:val="21"/>
          <w:szCs w:val="21"/>
        </w:rPr>
        <w:t xml:space="preserve">Uchwały Nr 89/20/P-VIII Prezydium Naczelnej Rady Lekarskiej z dnia 24 lipca 2020 r. w sprawie przyjęcia wytycznych dla udzielania świadczeń </w:t>
      </w:r>
      <w:proofErr w:type="spellStart"/>
      <w:r w:rsidR="004E46A2" w:rsidRPr="007E43C2">
        <w:rPr>
          <w:rFonts w:ascii="Muli" w:hAnsi="Muli"/>
          <w:sz w:val="21"/>
          <w:szCs w:val="21"/>
        </w:rPr>
        <w:t>telemedycznych</w:t>
      </w:r>
      <w:proofErr w:type="spellEnd"/>
      <w:r w:rsidR="00977B0D" w:rsidRPr="007E43C2">
        <w:rPr>
          <w:rFonts w:ascii="Muli" w:hAnsi="Muli"/>
          <w:sz w:val="21"/>
          <w:szCs w:val="21"/>
        </w:rPr>
        <w:t xml:space="preserve">. </w:t>
      </w:r>
    </w:p>
    <w:p w14:paraId="3F2D6017" w14:textId="59D1C796" w:rsidR="00F34964" w:rsidRPr="007E43C2" w:rsidRDefault="00F34964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t xml:space="preserve">W dalszej części szkolenia zostały omówione sprawy dotyczące skarg kierowanych do </w:t>
      </w:r>
      <w:r w:rsidR="00C35B71" w:rsidRPr="007E43C2">
        <w:rPr>
          <w:rFonts w:ascii="Muli" w:hAnsi="Muli"/>
          <w:sz w:val="21"/>
          <w:szCs w:val="21"/>
        </w:rPr>
        <w:t xml:space="preserve">rzeczników odpowiedzialności zawodowej przez </w:t>
      </w:r>
      <w:r w:rsidR="0031738C" w:rsidRPr="007E43C2">
        <w:rPr>
          <w:rFonts w:ascii="Muli" w:hAnsi="Muli"/>
          <w:sz w:val="21"/>
          <w:szCs w:val="21"/>
        </w:rPr>
        <w:t xml:space="preserve">osoby </w:t>
      </w:r>
      <w:r w:rsidR="00425C04" w:rsidRPr="007E43C2">
        <w:rPr>
          <w:rFonts w:ascii="Muli" w:hAnsi="Muli"/>
          <w:sz w:val="21"/>
          <w:szCs w:val="21"/>
        </w:rPr>
        <w:t xml:space="preserve">odbywające kary pozbawienia wolności w zakładach karnych. </w:t>
      </w:r>
      <w:r w:rsidR="00C35B71" w:rsidRPr="007E43C2">
        <w:rPr>
          <w:rFonts w:ascii="Muli" w:hAnsi="Muli"/>
          <w:sz w:val="21"/>
          <w:szCs w:val="21"/>
        </w:rPr>
        <w:t xml:space="preserve"> </w:t>
      </w:r>
    </w:p>
    <w:p w14:paraId="4A3D2B01" w14:textId="7E6F4362" w:rsidR="00AD4291" w:rsidRDefault="000F704D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 w:rsidRPr="007E43C2">
        <w:rPr>
          <w:rFonts w:ascii="Muli" w:hAnsi="Muli"/>
          <w:sz w:val="21"/>
          <w:szCs w:val="21"/>
        </w:rPr>
        <w:t>W kolejnych etapach szkolenia NROZ omówił bieżące zagadnienia oraz przedstawił spostrzeżenia wynikające z analizy konkretnych akt postępowań przeprowadzonej w ramach nadzoru.</w:t>
      </w:r>
    </w:p>
    <w:p w14:paraId="1A6942AD" w14:textId="77777777" w:rsidR="00AF447D" w:rsidRDefault="00AF447D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>
        <w:rPr>
          <w:rFonts w:ascii="Muli" w:hAnsi="Muli"/>
          <w:sz w:val="21"/>
          <w:szCs w:val="21"/>
        </w:rPr>
        <w:t>Poruszono sprawę konieczności</w:t>
      </w:r>
      <w:r w:rsidRPr="00AF447D">
        <w:rPr>
          <w:rFonts w:ascii="Muli" w:hAnsi="Muli"/>
          <w:sz w:val="21"/>
          <w:szCs w:val="21"/>
        </w:rPr>
        <w:t xml:space="preserve"> </w:t>
      </w:r>
      <w:r>
        <w:rPr>
          <w:rFonts w:ascii="Muli" w:hAnsi="Muli"/>
          <w:sz w:val="21"/>
          <w:szCs w:val="21"/>
        </w:rPr>
        <w:t>kierowania</w:t>
      </w:r>
      <w:r>
        <w:rPr>
          <w:rFonts w:ascii="Muli" w:hAnsi="Muli"/>
          <w:sz w:val="21"/>
          <w:szCs w:val="21"/>
        </w:rPr>
        <w:t xml:space="preserve">, na podstawie </w:t>
      </w:r>
      <w:r w:rsidRPr="004F46C7">
        <w:rPr>
          <w:rFonts w:ascii="Muli" w:hAnsi="Muli"/>
          <w:sz w:val="21"/>
          <w:szCs w:val="21"/>
        </w:rPr>
        <w:t xml:space="preserve">art. 11 ustawy </w:t>
      </w:r>
      <w:r w:rsidRPr="00815297">
        <w:rPr>
          <w:rFonts w:ascii="Muli" w:hAnsi="Muli"/>
          <w:sz w:val="21"/>
          <w:szCs w:val="21"/>
        </w:rPr>
        <w:t>z dnia 5 grudnia 1996 r. o zawodach lekarza i lekarza dentysty</w:t>
      </w:r>
      <w:r>
        <w:rPr>
          <w:rFonts w:ascii="Muli" w:hAnsi="Muli"/>
          <w:sz w:val="21"/>
          <w:szCs w:val="21"/>
        </w:rPr>
        <w:t xml:space="preserve"> lub art. 12 ust. 1 tej ustawy wniosków do ORL w celu powołania odpowiedniej komisji, w przypadku stwierdzenia niedostatecznego przygotowania zawodowego lub np. uzależnienia lekarza</w:t>
      </w:r>
    </w:p>
    <w:p w14:paraId="5D0A36EB" w14:textId="39D14AFB" w:rsidR="000D625C" w:rsidRDefault="00AF447D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>
        <w:rPr>
          <w:rFonts w:ascii="Muli" w:hAnsi="Muli"/>
          <w:sz w:val="21"/>
          <w:szCs w:val="21"/>
        </w:rPr>
        <w:t xml:space="preserve">Poruszono także sprawę dotyczącą skarg na felczerów. Mec. M. Szewczyński powiedział, że felczerzy mają osobny rejestr, jednakże nie podlegają odpowiedzialności zawodowej lekarzy i </w:t>
      </w:r>
      <w:r>
        <w:rPr>
          <w:rFonts w:ascii="Muli" w:hAnsi="Muli"/>
          <w:sz w:val="21"/>
          <w:szCs w:val="21"/>
        </w:rPr>
        <w:lastRenderedPageBreak/>
        <w:t xml:space="preserve">lekarzy dentystów. </w:t>
      </w:r>
      <w:r w:rsidR="000D625C">
        <w:rPr>
          <w:rFonts w:ascii="Muli" w:hAnsi="Muli"/>
          <w:sz w:val="21"/>
          <w:szCs w:val="21"/>
        </w:rPr>
        <w:t>W przypadku podejrzenia popełnienia przewinienia zawodowego przez felczera skargi należy kierować do Ministerstwa Zdrowia.</w:t>
      </w:r>
    </w:p>
    <w:p w14:paraId="0DCFD4E7" w14:textId="09249F91" w:rsidR="00AF447D" w:rsidRDefault="00AF447D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>
        <w:rPr>
          <w:rFonts w:ascii="Muli" w:hAnsi="Muli"/>
          <w:sz w:val="21"/>
          <w:szCs w:val="21"/>
        </w:rPr>
        <w:t>Dalej poruszono sprawę uznawania za pokrzywdzonego Prezesa NRL lub ORL w przypadku, gdy nie został ujawniony w toku postępowania inny pokrzywdzony. OSL rozpoznając taką sprawę ma prawo stwierdzić, że Prezes nie jest pokrzywdzonym. Ustanawianie Prezesa pokrzywdzonym ma m.in., na celu stworzenie możliwości zaskarżenia decyzji rzecznika i poddania sprawy kontroli instancyjnej. Gdy jednak Sąd nie uzna za pokrzywdzonego Prezesa, to rzecznik sam może wnieść środek odwoł</w:t>
      </w:r>
      <w:r w:rsidR="004E27B2">
        <w:rPr>
          <w:rFonts w:ascii="Muli" w:hAnsi="Muli"/>
          <w:sz w:val="21"/>
          <w:szCs w:val="21"/>
        </w:rPr>
        <w:t>a</w:t>
      </w:r>
      <w:r>
        <w:rPr>
          <w:rFonts w:ascii="Muli" w:hAnsi="Muli"/>
          <w:sz w:val="21"/>
          <w:szCs w:val="21"/>
        </w:rPr>
        <w:t>wczy</w:t>
      </w:r>
      <w:r w:rsidR="004E27B2">
        <w:rPr>
          <w:rFonts w:ascii="Muli" w:hAnsi="Muli"/>
          <w:sz w:val="21"/>
          <w:szCs w:val="21"/>
        </w:rPr>
        <w:t xml:space="preserve"> od decyzji sądu. </w:t>
      </w:r>
    </w:p>
    <w:p w14:paraId="01D2850A" w14:textId="11DCEF8D" w:rsidR="000D625C" w:rsidRDefault="000D625C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>
        <w:rPr>
          <w:rFonts w:ascii="Muli" w:hAnsi="Muli"/>
          <w:sz w:val="21"/>
          <w:szCs w:val="21"/>
        </w:rPr>
        <w:t xml:space="preserve">Wzywanie zawiadamiających do uzupełnienia braków formalnych. Zawiadomienie nie musi spełniać wymogów formalnych, gdy zawiera imię i nazwisko zawiadamiającego. Rzecznik zawsze ma prawo wezwać zawiadamiającego na przesłuchanie w celu doprecyzowania skargi. </w:t>
      </w:r>
    </w:p>
    <w:p w14:paraId="73832547" w14:textId="72A6964D" w:rsidR="000D625C" w:rsidRDefault="000D625C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>
        <w:rPr>
          <w:rFonts w:ascii="Muli" w:hAnsi="Muli"/>
          <w:sz w:val="21"/>
          <w:szCs w:val="21"/>
        </w:rPr>
        <w:t xml:space="preserve">NROZ podkreślił, że wszelkie terminy (np. dot. prolongat czy przedawnień) liczy się nie od daty wpływu do danego rzecznika, a od daty wpływu do pierwszego OROZ lub do NROZ. </w:t>
      </w:r>
    </w:p>
    <w:p w14:paraId="038A9218" w14:textId="5D996E5A" w:rsidR="000D625C" w:rsidRDefault="000D625C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  <w:r>
        <w:rPr>
          <w:rFonts w:ascii="Muli" w:hAnsi="Muli"/>
          <w:sz w:val="21"/>
          <w:szCs w:val="21"/>
        </w:rPr>
        <w:t xml:space="preserve">NROZ powiedział, że następne spotkanie odbędzie się pod koniec lutego lub na początku marca 2026 r. i będzie to ostatnie spotkanie w tej kadencji. </w:t>
      </w:r>
    </w:p>
    <w:p w14:paraId="3182FCAF" w14:textId="77777777" w:rsidR="000D625C" w:rsidRPr="007E43C2" w:rsidRDefault="000D625C" w:rsidP="007E43C2">
      <w:pPr>
        <w:spacing w:line="276" w:lineRule="auto"/>
        <w:jc w:val="both"/>
        <w:rPr>
          <w:rFonts w:ascii="Muli" w:hAnsi="Muli"/>
          <w:sz w:val="21"/>
          <w:szCs w:val="21"/>
        </w:rPr>
      </w:pPr>
    </w:p>
    <w:p w14:paraId="7383A8F8" w14:textId="1B8FD92E" w:rsidR="00026513" w:rsidRPr="007E43C2" w:rsidRDefault="00026513" w:rsidP="007E43C2">
      <w:pPr>
        <w:spacing w:line="276" w:lineRule="auto"/>
        <w:rPr>
          <w:rFonts w:ascii="Muli" w:hAnsi="Muli"/>
          <w:sz w:val="21"/>
          <w:szCs w:val="21"/>
        </w:rPr>
      </w:pPr>
    </w:p>
    <w:p w14:paraId="61938F0C" w14:textId="77777777" w:rsidR="007F17F1" w:rsidRPr="007F17F1" w:rsidRDefault="007F17F1" w:rsidP="007F17F1">
      <w:pPr>
        <w:jc w:val="both"/>
        <w:rPr>
          <w:rFonts w:ascii="Muli" w:hAnsi="Muli"/>
        </w:rPr>
      </w:pPr>
    </w:p>
    <w:sectPr w:rsidR="007F17F1" w:rsidRPr="007F17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8ECB8" w14:textId="77777777" w:rsidR="00251F13" w:rsidRDefault="00251F13" w:rsidP="00461C6B">
      <w:pPr>
        <w:spacing w:after="0" w:line="240" w:lineRule="auto"/>
      </w:pPr>
      <w:r>
        <w:separator/>
      </w:r>
    </w:p>
  </w:endnote>
  <w:endnote w:type="continuationSeparator" w:id="0">
    <w:p w14:paraId="2899F480" w14:textId="77777777" w:rsidR="00251F13" w:rsidRDefault="00251F13" w:rsidP="0046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li">
    <w:altName w:val="Cambria"/>
    <w:panose1 w:val="00000500000000000000"/>
    <w:charset w:val="EE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050310"/>
      <w:docPartObj>
        <w:docPartGallery w:val="Page Numbers (Bottom of Page)"/>
        <w:docPartUnique/>
      </w:docPartObj>
    </w:sdtPr>
    <w:sdtEndPr/>
    <w:sdtContent>
      <w:p w14:paraId="10C2052C" w14:textId="6FF624C7" w:rsidR="00F1713F" w:rsidRDefault="00F171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FF6D" w14:textId="77777777" w:rsidR="00F1713F" w:rsidRDefault="00F171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A78B" w14:textId="77777777" w:rsidR="00251F13" w:rsidRDefault="00251F13" w:rsidP="00461C6B">
      <w:pPr>
        <w:spacing w:after="0" w:line="240" w:lineRule="auto"/>
      </w:pPr>
      <w:r>
        <w:separator/>
      </w:r>
    </w:p>
  </w:footnote>
  <w:footnote w:type="continuationSeparator" w:id="0">
    <w:p w14:paraId="42D3885D" w14:textId="77777777" w:rsidR="00251F13" w:rsidRDefault="00251F13" w:rsidP="00461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F1"/>
    <w:rsid w:val="00026513"/>
    <w:rsid w:val="00046AD0"/>
    <w:rsid w:val="00084416"/>
    <w:rsid w:val="000D625C"/>
    <w:rsid w:val="000F704D"/>
    <w:rsid w:val="001C046E"/>
    <w:rsid w:val="00251F13"/>
    <w:rsid w:val="00281EEF"/>
    <w:rsid w:val="0031738C"/>
    <w:rsid w:val="00352B85"/>
    <w:rsid w:val="00425C04"/>
    <w:rsid w:val="00461C6B"/>
    <w:rsid w:val="00495084"/>
    <w:rsid w:val="004E27B2"/>
    <w:rsid w:val="004E46A2"/>
    <w:rsid w:val="005F715B"/>
    <w:rsid w:val="00680A58"/>
    <w:rsid w:val="007857C6"/>
    <w:rsid w:val="007E43C2"/>
    <w:rsid w:val="007F17F1"/>
    <w:rsid w:val="007F28F5"/>
    <w:rsid w:val="00823B42"/>
    <w:rsid w:val="00860BE2"/>
    <w:rsid w:val="00902EE9"/>
    <w:rsid w:val="00911ACC"/>
    <w:rsid w:val="00977B0D"/>
    <w:rsid w:val="00A22D97"/>
    <w:rsid w:val="00AB1864"/>
    <w:rsid w:val="00AD4291"/>
    <w:rsid w:val="00AE693E"/>
    <w:rsid w:val="00AF447D"/>
    <w:rsid w:val="00B2500F"/>
    <w:rsid w:val="00B41F1C"/>
    <w:rsid w:val="00B868F4"/>
    <w:rsid w:val="00B94571"/>
    <w:rsid w:val="00BD6FE8"/>
    <w:rsid w:val="00C35B71"/>
    <w:rsid w:val="00D5530D"/>
    <w:rsid w:val="00D65908"/>
    <w:rsid w:val="00D856A3"/>
    <w:rsid w:val="00EA6DAF"/>
    <w:rsid w:val="00EE2FBD"/>
    <w:rsid w:val="00EE569F"/>
    <w:rsid w:val="00F1713F"/>
    <w:rsid w:val="00F3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F374"/>
  <w15:chartTrackingRefBased/>
  <w15:docId w15:val="{FE1526E5-C9A0-4D8E-888B-A8A1514D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7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7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7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7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7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7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7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7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7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7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7F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F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C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C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C6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13F"/>
  </w:style>
  <w:style w:type="paragraph" w:styleId="Stopka">
    <w:name w:val="footer"/>
    <w:basedOn w:val="Normalny"/>
    <w:link w:val="StopkaZnak"/>
    <w:uiPriority w:val="99"/>
    <w:unhideWhenUsed/>
    <w:rsid w:val="00F17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1011</Words>
  <Characters>6071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Tomaszewska</dc:creator>
  <cp:keywords/>
  <dc:description/>
  <cp:lastModifiedBy>Ewa Nowosielska</cp:lastModifiedBy>
  <cp:revision>2</cp:revision>
  <dcterms:created xsi:type="dcterms:W3CDTF">2025-11-24T09:26:00Z</dcterms:created>
  <dcterms:modified xsi:type="dcterms:W3CDTF">2025-11-24T09:26:00Z</dcterms:modified>
</cp:coreProperties>
</file>